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51AE2" w14:textId="77777777" w:rsidR="00A35635" w:rsidRDefault="00A35635" w:rsidP="00635675">
      <w:pPr>
        <w:spacing w:after="240" w:line="276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678F8472" w14:textId="3742E6B5" w:rsidR="00A35635" w:rsidRPr="00A35635" w:rsidRDefault="00635675" w:rsidP="00A35635">
      <w:pPr>
        <w:spacing w:after="240" w:line="276" w:lineRule="auto"/>
        <w:jc w:val="center"/>
        <w:rPr>
          <w:rFonts w:ascii="Arial" w:hAnsi="Arial"/>
          <w:b/>
          <w:bCs/>
          <w:sz w:val="28"/>
          <w:szCs w:val="28"/>
        </w:rPr>
      </w:pPr>
      <w:r w:rsidRPr="00635675">
        <w:rPr>
          <w:rFonts w:ascii="Arial" w:hAnsi="Arial"/>
          <w:b/>
          <w:bCs/>
          <w:sz w:val="28"/>
          <w:szCs w:val="28"/>
        </w:rPr>
        <w:t xml:space="preserve">Concentração de renda </w:t>
      </w:r>
      <w:r>
        <w:rPr>
          <w:rFonts w:ascii="Arial" w:hAnsi="Arial"/>
          <w:b/>
          <w:bCs/>
          <w:sz w:val="28"/>
          <w:szCs w:val="28"/>
        </w:rPr>
        <w:t>cresce e</w:t>
      </w:r>
      <w:r w:rsidRPr="00635675">
        <w:rPr>
          <w:rFonts w:ascii="Arial" w:hAnsi="Arial"/>
          <w:b/>
          <w:bCs/>
          <w:sz w:val="28"/>
          <w:szCs w:val="28"/>
        </w:rPr>
        <w:t xml:space="preserve"> PB é 6º estado mais desigual do país</w:t>
      </w:r>
    </w:p>
    <w:p w14:paraId="6FD0B8D0" w14:textId="67A95E32" w:rsidR="00635675" w:rsidRPr="00635675" w:rsidRDefault="00FF6193" w:rsidP="00FF6193">
      <w:pPr>
        <w:spacing w:after="240" w:line="276" w:lineRule="auto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Em 2019</w:t>
      </w:r>
      <w:r w:rsidR="00FF2E67">
        <w:rPr>
          <w:rFonts w:ascii="Arial" w:hAnsi="Arial"/>
          <w:i/>
          <w:iCs/>
        </w:rPr>
        <w:t>,</w:t>
      </w:r>
      <w:r>
        <w:rPr>
          <w:rFonts w:ascii="Arial" w:hAnsi="Arial"/>
          <w:i/>
          <w:iCs/>
        </w:rPr>
        <w:t xml:space="preserve"> Paraíba alcançou maior índice da série histórica</w:t>
      </w:r>
      <w:r w:rsidR="00D30BBA">
        <w:rPr>
          <w:rFonts w:ascii="Arial" w:hAnsi="Arial"/>
          <w:i/>
          <w:iCs/>
        </w:rPr>
        <w:t xml:space="preserve"> do estado</w:t>
      </w:r>
      <w:r>
        <w:rPr>
          <w:rFonts w:ascii="Arial" w:hAnsi="Arial"/>
          <w:i/>
          <w:iCs/>
        </w:rPr>
        <w:t xml:space="preserve">, de 0,559. Dados da PNAD Contínua sobre </w:t>
      </w:r>
      <w:r w:rsidR="009D1E87">
        <w:rPr>
          <w:rFonts w:ascii="Arial" w:hAnsi="Arial"/>
          <w:i/>
          <w:iCs/>
        </w:rPr>
        <w:t>r</w:t>
      </w:r>
      <w:r>
        <w:rPr>
          <w:rFonts w:ascii="Arial" w:hAnsi="Arial"/>
          <w:i/>
          <w:iCs/>
        </w:rPr>
        <w:t xml:space="preserve">endimento de </w:t>
      </w:r>
      <w:r w:rsidR="009D1E87">
        <w:rPr>
          <w:rFonts w:ascii="Arial" w:hAnsi="Arial"/>
          <w:i/>
          <w:iCs/>
        </w:rPr>
        <w:t>t</w:t>
      </w:r>
      <w:r>
        <w:rPr>
          <w:rFonts w:ascii="Arial" w:hAnsi="Arial"/>
          <w:i/>
          <w:iCs/>
        </w:rPr>
        <w:t xml:space="preserve">odas as </w:t>
      </w:r>
      <w:r w:rsidR="009D1E87">
        <w:rPr>
          <w:rFonts w:ascii="Arial" w:hAnsi="Arial"/>
          <w:i/>
          <w:iCs/>
        </w:rPr>
        <w:t>f</w:t>
      </w:r>
      <w:r>
        <w:rPr>
          <w:rFonts w:ascii="Arial" w:hAnsi="Arial"/>
          <w:i/>
          <w:iCs/>
        </w:rPr>
        <w:t xml:space="preserve">ontes foram divulgados nesta quarta-feira (6) pelo IBGE. </w:t>
      </w:r>
    </w:p>
    <w:p w14:paraId="7EE380E1" w14:textId="516FAC25" w:rsidR="001E45D3" w:rsidRDefault="00546C9C" w:rsidP="00591A8D">
      <w:pPr>
        <w:spacing w:after="240" w:line="276" w:lineRule="auto"/>
        <w:jc w:val="both"/>
        <w:rPr>
          <w:rFonts w:ascii="Arial" w:hAnsi="Arial"/>
        </w:rPr>
      </w:pPr>
      <w:r w:rsidRPr="00546C9C">
        <w:rPr>
          <w:rFonts w:ascii="Arial" w:hAnsi="Arial"/>
        </w:rPr>
        <w:t>A concentração de renda na Paraíba</w:t>
      </w:r>
      <w:r>
        <w:rPr>
          <w:rFonts w:ascii="Arial" w:hAnsi="Arial"/>
        </w:rPr>
        <w:t xml:space="preserve"> tem crescido nos últimos anos e o estado foi o 6º mais desigual do país em 2019</w:t>
      </w:r>
      <w:r w:rsidR="00FF2E67">
        <w:rPr>
          <w:rFonts w:ascii="Arial" w:hAnsi="Arial"/>
        </w:rPr>
        <w:t>,</w:t>
      </w:r>
      <w:r>
        <w:rPr>
          <w:rFonts w:ascii="Arial" w:hAnsi="Arial"/>
        </w:rPr>
        <w:t xml:space="preserve"> em relação ao rendimento domiciliar per capita, </w:t>
      </w:r>
      <w:r w:rsidR="00FF6193">
        <w:rPr>
          <w:rFonts w:ascii="Arial" w:hAnsi="Arial"/>
        </w:rPr>
        <w:t xml:space="preserve">conforme o índice de Gini, </w:t>
      </w:r>
      <w:r>
        <w:rPr>
          <w:rFonts w:ascii="Arial" w:hAnsi="Arial"/>
        </w:rPr>
        <w:t>como apontam dados da Pesquisa Nacional por Amostra de Domicílios Contínua</w:t>
      </w:r>
      <w:r w:rsidR="00FF2E67">
        <w:rPr>
          <w:rFonts w:ascii="Arial" w:hAnsi="Arial"/>
        </w:rPr>
        <w:t xml:space="preserve"> </w:t>
      </w:r>
      <w:r w:rsidR="00FF2E67">
        <w:rPr>
          <w:rFonts w:ascii="Arial" w:hAnsi="Arial"/>
        </w:rPr>
        <w:t>(PNAD</w:t>
      </w:r>
      <w:r w:rsidR="00FF2E67">
        <w:rPr>
          <w:rFonts w:ascii="Arial" w:hAnsi="Arial"/>
        </w:rPr>
        <w:t>C</w:t>
      </w:r>
      <w:r w:rsidR="00FF2E67">
        <w:rPr>
          <w:rFonts w:ascii="Arial" w:hAnsi="Arial"/>
        </w:rPr>
        <w:t>)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divulgados pelo IBGE nesta quarta-feira (</w:t>
      </w:r>
      <w:r w:rsidR="00FF6193">
        <w:rPr>
          <w:rFonts w:ascii="Arial" w:hAnsi="Arial"/>
        </w:rPr>
        <w:t>6</w:t>
      </w:r>
      <w:r>
        <w:rPr>
          <w:rFonts w:ascii="Arial" w:hAnsi="Arial"/>
        </w:rPr>
        <w:t>).</w:t>
      </w:r>
      <w:r w:rsidR="00692B7F">
        <w:rPr>
          <w:rFonts w:ascii="Arial" w:hAnsi="Arial"/>
        </w:rPr>
        <w:t xml:space="preserve"> Esse módulo do levantamento analisou os rendimentos de todas as fontes das famílias, em 2019, como trabalho, aposentadoria, pensão, aluguel e arrendamento e programas sociais do Governo Federal.</w:t>
      </w:r>
    </w:p>
    <w:p w14:paraId="31BDC30A" w14:textId="57F030B2" w:rsidR="007216AB" w:rsidRDefault="007216AB" w:rsidP="00591A8D">
      <w:pPr>
        <w:spacing w:after="240" w:line="276" w:lineRule="auto"/>
        <w:jc w:val="center"/>
        <w:rPr>
          <w:rFonts w:ascii="Arial" w:hAnsi="Arial"/>
        </w:rPr>
      </w:pPr>
      <w:r>
        <w:rPr>
          <w:noProof/>
          <w:lang w:eastAsia="pt-BR" w:bidi="ar-SA"/>
        </w:rPr>
        <w:drawing>
          <wp:inline distT="0" distB="0" distL="0" distR="0" wp14:anchorId="3489033E" wp14:editId="34323A3E">
            <wp:extent cx="4410075" cy="2657475"/>
            <wp:effectExtent l="0" t="0" r="9525" b="952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A4D68CC" w14:textId="4833C85B" w:rsidR="00692B7F" w:rsidRDefault="00692B7F" w:rsidP="00591A8D">
      <w:pPr>
        <w:spacing w:after="24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Calculada pelo índice de Gini – </w:t>
      </w:r>
      <w:r w:rsidR="00FF2E67">
        <w:rPr>
          <w:rFonts w:ascii="Arial" w:hAnsi="Arial"/>
        </w:rPr>
        <w:t xml:space="preserve">uma medida que varia de zero, representando a </w:t>
      </w:r>
      <w:r>
        <w:rPr>
          <w:rFonts w:ascii="Arial" w:hAnsi="Arial"/>
        </w:rPr>
        <w:t>perfeita igualdade, até um, que indica a desigualdade máxima – a concentração de renda per capita na Paraíba, que era de 0,516 em 2012, passou para 0,547 em 2018 e chegou a 0,559, em 2019. Além de ser o maior da série histórica, o valor está acima da média brasileira, de 0,543, embora seja igual à média do Nordeste</w:t>
      </w:r>
      <w:r w:rsidR="007216AB">
        <w:rPr>
          <w:rFonts w:ascii="Arial" w:hAnsi="Arial"/>
        </w:rPr>
        <w:t>.</w:t>
      </w:r>
    </w:p>
    <w:p w14:paraId="66E7A9B0" w14:textId="0201A6AA" w:rsidR="00654A9D" w:rsidRDefault="003337FE" w:rsidP="00591A8D">
      <w:pPr>
        <w:spacing w:after="24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Os 10% </w:t>
      </w:r>
      <w:r w:rsidR="00654A9D">
        <w:rPr>
          <w:rFonts w:ascii="Arial" w:hAnsi="Arial"/>
        </w:rPr>
        <w:t>mais pobre</w:t>
      </w:r>
      <w:r w:rsidR="00FF2E67">
        <w:rPr>
          <w:rFonts w:ascii="Arial" w:hAnsi="Arial"/>
        </w:rPr>
        <w:t>s</w:t>
      </w:r>
      <w:r w:rsidR="00654A9D">
        <w:rPr>
          <w:rFonts w:ascii="Arial" w:hAnsi="Arial"/>
        </w:rPr>
        <w:t xml:space="preserve"> </w:t>
      </w:r>
      <w:r>
        <w:rPr>
          <w:rFonts w:ascii="Arial" w:hAnsi="Arial"/>
        </w:rPr>
        <w:t>da população da Paraíba têm um rendime</w:t>
      </w:r>
      <w:r w:rsidR="00FF2E67">
        <w:rPr>
          <w:rFonts w:ascii="Arial" w:hAnsi="Arial"/>
        </w:rPr>
        <w:t>nto médio mensal real de R$ 153,</w:t>
      </w:r>
      <w:r>
        <w:rPr>
          <w:rFonts w:ascii="Arial" w:hAnsi="Arial"/>
        </w:rPr>
        <w:t xml:space="preserve"> enquanto para o grupo 1</w:t>
      </w:r>
      <w:r w:rsidR="00FF2E67">
        <w:rPr>
          <w:rFonts w:ascii="Arial" w:hAnsi="Arial"/>
        </w:rPr>
        <w:t>0</w:t>
      </w:r>
      <w:r>
        <w:rPr>
          <w:rFonts w:ascii="Arial" w:hAnsi="Arial"/>
        </w:rPr>
        <w:t>% mais rico do e</w:t>
      </w:r>
      <w:r w:rsidR="00FF2E67">
        <w:rPr>
          <w:rFonts w:ascii="Arial" w:hAnsi="Arial"/>
        </w:rPr>
        <w:t>stado</w:t>
      </w:r>
      <w:r w:rsidR="000909F2">
        <w:rPr>
          <w:rFonts w:ascii="Arial" w:hAnsi="Arial"/>
        </w:rPr>
        <w:t>,</w:t>
      </w:r>
      <w:r w:rsidR="00FF2E67">
        <w:rPr>
          <w:rFonts w:ascii="Arial" w:hAnsi="Arial"/>
        </w:rPr>
        <w:t xml:space="preserve"> esse valor é de R$ 7.240, ou seja, aproximadamente 47 vezes maior</w:t>
      </w:r>
      <w:r>
        <w:rPr>
          <w:rFonts w:ascii="Arial" w:hAnsi="Arial"/>
        </w:rPr>
        <w:t xml:space="preserve">. </w:t>
      </w:r>
      <w:r w:rsidR="00FF2E67">
        <w:rPr>
          <w:rFonts w:ascii="Arial" w:hAnsi="Arial"/>
        </w:rPr>
        <w:t>Chama atenç</w:t>
      </w:r>
      <w:r w:rsidR="000909F2">
        <w:rPr>
          <w:rFonts w:ascii="Arial" w:hAnsi="Arial"/>
        </w:rPr>
        <w:t>ão o</w:t>
      </w:r>
      <w:r w:rsidR="00FF2E67">
        <w:rPr>
          <w:rFonts w:ascii="Arial" w:hAnsi="Arial"/>
        </w:rPr>
        <w:t xml:space="preserve"> rendimento médio dos 1% mais ricos, de R$ 21.334.</w:t>
      </w:r>
    </w:p>
    <w:p w14:paraId="455DABAE" w14:textId="45A48C40" w:rsidR="00107AE2" w:rsidRPr="00107AE2" w:rsidRDefault="00654A9D" w:rsidP="00591A8D">
      <w:pPr>
        <w:spacing w:after="24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Em relação a 2018, a fatia dos 10% mais pobres teve um aumento de 14,6% no rendimento médio mensal, ao passo que o 1% mais rico registrou queda de 8,6% no valor. Em contrapartida, quando comparada a 2012, a quantia recebida </w:t>
      </w:r>
      <w:r w:rsidR="00107AE2">
        <w:rPr>
          <w:rFonts w:ascii="Arial" w:hAnsi="Arial"/>
        </w:rPr>
        <w:t>pelos 10%</w:t>
      </w:r>
      <w:r w:rsidR="000909F2">
        <w:rPr>
          <w:rFonts w:ascii="Arial" w:hAnsi="Arial"/>
        </w:rPr>
        <w:t xml:space="preserve"> mais pobres</w:t>
      </w:r>
      <w:r w:rsidR="00107AE2">
        <w:rPr>
          <w:rFonts w:ascii="Arial" w:hAnsi="Arial"/>
        </w:rPr>
        <w:t xml:space="preserve"> teve acréscimo de 9,7%, à medida que o grupo </w:t>
      </w:r>
      <w:r w:rsidR="00FF2E67">
        <w:rPr>
          <w:rFonts w:ascii="Arial" w:hAnsi="Arial"/>
        </w:rPr>
        <w:t xml:space="preserve">dos 1% </w:t>
      </w:r>
      <w:r w:rsidR="00107AE2">
        <w:rPr>
          <w:rFonts w:ascii="Arial" w:hAnsi="Arial"/>
        </w:rPr>
        <w:t>mais rico</w:t>
      </w:r>
      <w:r w:rsidR="00FF2E67">
        <w:rPr>
          <w:rFonts w:ascii="Arial" w:hAnsi="Arial"/>
        </w:rPr>
        <w:t>s teve a maior ganho de renda entre todos os grupos</w:t>
      </w:r>
      <w:r w:rsidR="006E783A">
        <w:rPr>
          <w:rFonts w:ascii="Arial" w:hAnsi="Arial"/>
        </w:rPr>
        <w:t>,</w:t>
      </w:r>
      <w:r w:rsidR="00107AE2">
        <w:rPr>
          <w:rFonts w:ascii="Arial" w:hAnsi="Arial"/>
        </w:rPr>
        <w:t xml:space="preserve"> </w:t>
      </w:r>
      <w:r w:rsidR="00FF2E67">
        <w:rPr>
          <w:rFonts w:ascii="Arial" w:hAnsi="Arial"/>
        </w:rPr>
        <w:t xml:space="preserve">com aumento </w:t>
      </w:r>
      <w:r w:rsidR="00107AE2">
        <w:rPr>
          <w:rFonts w:ascii="Arial" w:hAnsi="Arial"/>
        </w:rPr>
        <w:t>de 43,6%</w:t>
      </w:r>
      <w:r w:rsidR="006E783A">
        <w:rPr>
          <w:rFonts w:ascii="Arial" w:hAnsi="Arial"/>
        </w:rPr>
        <w:t>,</w:t>
      </w:r>
      <w:r w:rsidR="00107AE2">
        <w:rPr>
          <w:rFonts w:ascii="Arial" w:hAnsi="Arial"/>
        </w:rPr>
        <w:t xml:space="preserve"> no </w:t>
      </w:r>
      <w:r w:rsidR="00FF2E67">
        <w:rPr>
          <w:rFonts w:ascii="Arial" w:hAnsi="Arial"/>
        </w:rPr>
        <w:t xml:space="preserve">dos </w:t>
      </w:r>
      <w:r w:rsidR="00107AE2">
        <w:rPr>
          <w:rFonts w:ascii="Arial" w:hAnsi="Arial"/>
        </w:rPr>
        <w:t>rendimento</w:t>
      </w:r>
      <w:r w:rsidR="00FF2E67">
        <w:rPr>
          <w:rFonts w:ascii="Arial" w:hAnsi="Arial"/>
        </w:rPr>
        <w:t>s</w:t>
      </w:r>
      <w:r w:rsidR="00107AE2">
        <w:rPr>
          <w:rFonts w:ascii="Arial" w:hAnsi="Arial"/>
        </w:rPr>
        <w:t xml:space="preserve">, no mesmo período. </w:t>
      </w:r>
    </w:p>
    <w:p w14:paraId="76827FEE" w14:textId="674BA56E" w:rsidR="00107AE2" w:rsidRDefault="00107AE2" w:rsidP="00591A8D">
      <w:pPr>
        <w:spacing w:after="240" w:line="276" w:lineRule="auto"/>
        <w:jc w:val="both"/>
        <w:rPr>
          <w:rFonts w:ascii="Arial" w:hAnsi="Arial"/>
        </w:rPr>
      </w:pPr>
      <w:r>
        <w:rPr>
          <w:noProof/>
          <w:lang w:eastAsia="pt-BR" w:bidi="ar-SA"/>
        </w:rPr>
        <w:lastRenderedPageBreak/>
        <w:drawing>
          <wp:inline distT="0" distB="0" distL="0" distR="0" wp14:anchorId="699F245B" wp14:editId="71F30537">
            <wp:extent cx="6191250" cy="143319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989" t="31822" r="19195" b="38580"/>
                    <a:stretch/>
                  </pic:blipFill>
                  <pic:spPr bwMode="auto">
                    <a:xfrm>
                      <a:off x="0" y="0"/>
                      <a:ext cx="6472177" cy="1498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165449" w14:textId="399CAD55" w:rsidR="00D87E95" w:rsidRDefault="001260B5" w:rsidP="00591A8D">
      <w:pPr>
        <w:spacing w:after="240" w:line="276" w:lineRule="auto"/>
        <w:jc w:val="both"/>
        <w:rPr>
          <w:rFonts w:ascii="Arial" w:hAnsi="Arial"/>
          <w:b/>
          <w:bCs/>
        </w:rPr>
      </w:pPr>
      <w:r w:rsidRPr="001260B5">
        <w:rPr>
          <w:rFonts w:ascii="Arial" w:hAnsi="Arial"/>
          <w:b/>
          <w:bCs/>
        </w:rPr>
        <w:t xml:space="preserve">Trabalho, aposentadoria e pensão </w:t>
      </w:r>
      <w:r>
        <w:rPr>
          <w:rFonts w:ascii="Arial" w:hAnsi="Arial"/>
          <w:b/>
          <w:bCs/>
        </w:rPr>
        <w:t>formam</w:t>
      </w:r>
      <w:r w:rsidRPr="001260B5">
        <w:rPr>
          <w:rFonts w:ascii="Arial" w:hAnsi="Arial"/>
          <w:b/>
          <w:bCs/>
        </w:rPr>
        <w:t xml:space="preserve"> maior parte </w:t>
      </w:r>
      <w:r>
        <w:rPr>
          <w:rFonts w:ascii="Arial" w:hAnsi="Arial"/>
          <w:b/>
          <w:bCs/>
        </w:rPr>
        <w:t>da renda</w:t>
      </w:r>
      <w:r w:rsidRPr="001260B5">
        <w:rPr>
          <w:rFonts w:ascii="Arial" w:hAnsi="Arial"/>
          <w:b/>
          <w:bCs/>
        </w:rPr>
        <w:t xml:space="preserve"> domiciliar per capita na PB</w:t>
      </w:r>
    </w:p>
    <w:p w14:paraId="68A5024C" w14:textId="2357B366" w:rsidR="001260B5" w:rsidRDefault="00C3793B" w:rsidP="00591A8D">
      <w:pPr>
        <w:spacing w:after="240" w:line="276" w:lineRule="auto"/>
        <w:jc w:val="both"/>
        <w:rPr>
          <w:rFonts w:ascii="Arial" w:hAnsi="Arial"/>
        </w:rPr>
      </w:pPr>
      <w:r>
        <w:rPr>
          <w:rFonts w:ascii="Arial" w:hAnsi="Arial"/>
        </w:rPr>
        <w:t>A participação da renda de todos os trabalhos na composição do rendimento médio mensal real domiciliar per capita, na Paraíba, tem registrado leves quedas desde 2018, quando passou de 66% em 2017 para 65,7%. Em 2019, o percentual chegou a 64,8%.</w:t>
      </w:r>
    </w:p>
    <w:p w14:paraId="3B0466CA" w14:textId="156FEC0D" w:rsidR="00C3793B" w:rsidRDefault="00C3793B" w:rsidP="00591A8D">
      <w:pPr>
        <w:spacing w:after="24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 segunda maior participação tem como fonte a aposentadoria e pensão, que representaram 26,5% do total em 2019. Em seguida, estão outros rendimentos, com 5,5%, categoria que inclui </w:t>
      </w:r>
      <w:r w:rsidR="006E783A">
        <w:rPr>
          <w:rFonts w:ascii="Arial" w:hAnsi="Arial"/>
        </w:rPr>
        <w:t>s</w:t>
      </w:r>
      <w:r w:rsidRPr="00C3793B">
        <w:rPr>
          <w:rFonts w:ascii="Arial" w:hAnsi="Arial" w:hint="eastAsia"/>
        </w:rPr>
        <w:t xml:space="preserve">eguro-desemprego, programas de </w:t>
      </w:r>
      <w:r w:rsidRPr="00C3793B">
        <w:rPr>
          <w:rFonts w:ascii="Arial" w:hAnsi="Arial"/>
        </w:rPr>
        <w:t>transferência</w:t>
      </w:r>
      <w:r w:rsidRPr="00C3793B">
        <w:rPr>
          <w:rFonts w:ascii="Arial" w:hAnsi="Arial" w:hint="eastAsia"/>
        </w:rPr>
        <w:t xml:space="preserve"> de renda do governo, rendimentos de poupança</w:t>
      </w:r>
      <w:r>
        <w:rPr>
          <w:rFonts w:ascii="Arial" w:hAnsi="Arial"/>
        </w:rPr>
        <w:t>.</w:t>
      </w:r>
    </w:p>
    <w:p w14:paraId="31DEE58F" w14:textId="7C794685" w:rsidR="003E1BF9" w:rsidRDefault="003E1BF9" w:rsidP="00591A8D">
      <w:pPr>
        <w:spacing w:after="240" w:line="276" w:lineRule="auto"/>
        <w:jc w:val="both"/>
        <w:rPr>
          <w:rFonts w:ascii="Arial" w:hAnsi="Arial"/>
        </w:rPr>
      </w:pPr>
      <w:r>
        <w:rPr>
          <w:rFonts w:ascii="Arial" w:hAnsi="Arial"/>
        </w:rPr>
        <w:t>O rendimento domiciliar médio é formado ainda por aluguel e arrendamento (1,9%)</w:t>
      </w:r>
      <w:r w:rsidR="002C42C5">
        <w:rPr>
          <w:rFonts w:ascii="Arial" w:hAnsi="Arial"/>
        </w:rPr>
        <w:t>, que teve um leve decréscimo de 0,5 pontos percentuais em relação a 2018 (2,4%)</w:t>
      </w:r>
      <w:r w:rsidR="008B6347">
        <w:rPr>
          <w:rFonts w:ascii="Arial" w:hAnsi="Arial"/>
        </w:rPr>
        <w:t>, e</w:t>
      </w:r>
      <w:r w:rsidR="002C42C5">
        <w:rPr>
          <w:rFonts w:ascii="Arial" w:hAnsi="Arial"/>
        </w:rPr>
        <w:t xml:space="preserve"> pensão alimentícia, doação e mesada de não morador, que representou 1,4% do total. </w:t>
      </w:r>
    </w:p>
    <w:p w14:paraId="25C4DD91" w14:textId="6DA041C5" w:rsidR="001C048F" w:rsidRDefault="001C048F" w:rsidP="00591A8D">
      <w:pPr>
        <w:spacing w:after="240" w:line="276" w:lineRule="auto"/>
        <w:jc w:val="both"/>
        <w:rPr>
          <w:rFonts w:ascii="Arial" w:hAnsi="Arial"/>
          <w:b/>
          <w:bCs/>
        </w:rPr>
      </w:pPr>
      <w:r w:rsidRPr="001C048F">
        <w:rPr>
          <w:rFonts w:ascii="Arial" w:hAnsi="Arial"/>
          <w:b/>
          <w:bCs/>
        </w:rPr>
        <w:t>Homens ganharam quase 13% a mais que mulheres na Paraíba, em 2019</w:t>
      </w:r>
    </w:p>
    <w:p w14:paraId="380801CD" w14:textId="062952B5" w:rsidR="001C048F" w:rsidRDefault="00AC6060" w:rsidP="00591A8D">
      <w:pPr>
        <w:spacing w:after="240" w:line="276" w:lineRule="auto"/>
        <w:jc w:val="both"/>
        <w:rPr>
          <w:rFonts w:ascii="Arial" w:hAnsi="Arial"/>
        </w:rPr>
      </w:pPr>
      <w:r>
        <w:rPr>
          <w:rFonts w:ascii="Arial" w:hAnsi="Arial"/>
        </w:rPr>
        <w:t>Os homens tiveram um</w:t>
      </w:r>
      <w:r w:rsidRPr="00AC6060">
        <w:rPr>
          <w:rFonts w:ascii="Arial" w:hAnsi="Arial"/>
        </w:rPr>
        <w:t xml:space="preserve"> rendimento médio mensal real</w:t>
      </w:r>
      <w:r w:rsidR="00FF2E67">
        <w:rPr>
          <w:rFonts w:ascii="Arial" w:hAnsi="Arial"/>
        </w:rPr>
        <w:t xml:space="preserve"> 13</w:t>
      </w:r>
      <w:r>
        <w:rPr>
          <w:rFonts w:ascii="Arial" w:hAnsi="Arial"/>
        </w:rPr>
        <w:t xml:space="preserve">% maior do que o das mulheres em 2019, na Paraíba, de acordo com </w:t>
      </w:r>
      <w:r w:rsidR="00C034EE">
        <w:rPr>
          <w:rFonts w:ascii="Arial" w:hAnsi="Arial"/>
        </w:rPr>
        <w:t>a PNAD Contínua</w:t>
      </w:r>
      <w:r>
        <w:rPr>
          <w:rFonts w:ascii="Arial" w:hAnsi="Arial"/>
        </w:rPr>
        <w:t xml:space="preserve">. </w:t>
      </w:r>
      <w:r w:rsidR="00146350">
        <w:rPr>
          <w:rFonts w:ascii="Arial" w:hAnsi="Arial"/>
        </w:rPr>
        <w:t>N</w:t>
      </w:r>
      <w:r>
        <w:rPr>
          <w:rFonts w:ascii="Arial" w:hAnsi="Arial"/>
        </w:rPr>
        <w:t xml:space="preserve">a média do </w:t>
      </w:r>
      <w:r w:rsidR="00E56692">
        <w:rPr>
          <w:rFonts w:ascii="Arial" w:hAnsi="Arial"/>
        </w:rPr>
        <w:t>país</w:t>
      </w:r>
      <w:r>
        <w:rPr>
          <w:rFonts w:ascii="Arial" w:hAnsi="Arial"/>
        </w:rPr>
        <w:t xml:space="preserve">, essa diferença foi de 28,7%. A pesquisa considerou o trabalho de todas as pessoas de 14 anos ou mais. </w:t>
      </w:r>
    </w:p>
    <w:p w14:paraId="13943204" w14:textId="5ECA6B3A" w:rsidR="007216AB" w:rsidRDefault="007216AB" w:rsidP="00591A8D">
      <w:pPr>
        <w:spacing w:after="240" w:line="276" w:lineRule="auto"/>
        <w:jc w:val="both"/>
        <w:rPr>
          <w:rFonts w:ascii="Arial" w:hAnsi="Arial"/>
        </w:rPr>
      </w:pPr>
      <w:r>
        <w:rPr>
          <w:rFonts w:ascii="Arial" w:hAnsi="Arial"/>
        </w:rPr>
        <w:t>O rendimento médio mensal real no estado como um todo foi de R$ 1.629,</w:t>
      </w:r>
      <w:r w:rsidR="00591A8D">
        <w:rPr>
          <w:rFonts w:ascii="Arial" w:hAnsi="Arial"/>
        </w:rPr>
        <w:t xml:space="preserve"> ficando abaixo do constatado para o Brasil, de R$ 2.308, mas acima </w:t>
      </w:r>
      <w:r w:rsidR="00C034EE">
        <w:rPr>
          <w:rFonts w:ascii="Arial" w:hAnsi="Arial"/>
        </w:rPr>
        <w:t>da média da região, de R$ 1.588.</w:t>
      </w:r>
      <w:r w:rsidR="00591A8D">
        <w:rPr>
          <w:rFonts w:ascii="Arial" w:hAnsi="Arial"/>
        </w:rPr>
        <w:t xml:space="preserve"> N</w:t>
      </w:r>
      <w:r>
        <w:rPr>
          <w:rFonts w:ascii="Arial" w:hAnsi="Arial"/>
        </w:rPr>
        <w:t xml:space="preserve">o entanto, </w:t>
      </w:r>
      <w:r w:rsidR="00591A8D">
        <w:rPr>
          <w:rFonts w:ascii="Arial" w:hAnsi="Arial"/>
        </w:rPr>
        <w:t xml:space="preserve">enquanto </w:t>
      </w:r>
      <w:r>
        <w:rPr>
          <w:rFonts w:ascii="Arial" w:hAnsi="Arial"/>
        </w:rPr>
        <w:t xml:space="preserve">os trabalhadores </w:t>
      </w:r>
      <w:r w:rsidR="006B6F11">
        <w:rPr>
          <w:rFonts w:ascii="Arial" w:hAnsi="Arial"/>
        </w:rPr>
        <w:t xml:space="preserve">paraibanos </w:t>
      </w:r>
      <w:r>
        <w:rPr>
          <w:rFonts w:ascii="Arial" w:hAnsi="Arial"/>
        </w:rPr>
        <w:t xml:space="preserve">do grupo masculino receberam, em média, R$ 1.708, as mulheres </w:t>
      </w:r>
      <w:r w:rsidR="00591A8D">
        <w:rPr>
          <w:rFonts w:ascii="Arial" w:hAnsi="Arial"/>
        </w:rPr>
        <w:t>ganharam</w:t>
      </w:r>
      <w:r>
        <w:rPr>
          <w:rFonts w:ascii="Arial" w:hAnsi="Arial"/>
        </w:rPr>
        <w:t xml:space="preserve"> R$ 1.512.</w:t>
      </w:r>
    </w:p>
    <w:p w14:paraId="18027058" w14:textId="01BE5210" w:rsidR="007216AB" w:rsidRDefault="00591A8D" w:rsidP="00A35635">
      <w:pPr>
        <w:spacing w:after="240" w:line="276" w:lineRule="auto"/>
        <w:jc w:val="center"/>
        <w:rPr>
          <w:rFonts w:ascii="Arial" w:hAnsi="Arial"/>
        </w:rPr>
      </w:pPr>
      <w:r>
        <w:rPr>
          <w:noProof/>
          <w:lang w:eastAsia="pt-BR" w:bidi="ar-SA"/>
        </w:rPr>
        <w:lastRenderedPageBreak/>
        <w:drawing>
          <wp:inline distT="0" distB="0" distL="0" distR="0" wp14:anchorId="2BB5AAEE" wp14:editId="5428F48E">
            <wp:extent cx="6134100" cy="2781300"/>
            <wp:effectExtent l="0" t="0" r="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D9DE5CB" w14:textId="50F4EF38" w:rsidR="007216AB" w:rsidRDefault="00621650" w:rsidP="00591A8D">
      <w:pPr>
        <w:spacing w:after="24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Ao analisar o aspecto cor ou raça, a pesquisa constatou que pessoas brancas tiveram, no estado, um rendimento médio de R$ 2.111, cerca de 54,8% maior que o das pessoas pretas, que foi de R$ 1.363, </w:t>
      </w:r>
      <w:r w:rsidR="006B6F11">
        <w:rPr>
          <w:rFonts w:ascii="Arial" w:hAnsi="Arial"/>
        </w:rPr>
        <w:t xml:space="preserve">com </w:t>
      </w:r>
      <w:r>
        <w:rPr>
          <w:rFonts w:ascii="Arial" w:hAnsi="Arial"/>
        </w:rPr>
        <w:t>uma diferença de R$ 748.</w:t>
      </w:r>
    </w:p>
    <w:p w14:paraId="101A0278" w14:textId="4AAF82C2" w:rsidR="00524F1F" w:rsidRDefault="00524F1F" w:rsidP="00591A8D">
      <w:pPr>
        <w:spacing w:after="240" w:line="276" w:lineRule="auto"/>
        <w:jc w:val="both"/>
        <w:rPr>
          <w:rFonts w:ascii="Arial" w:hAnsi="Arial"/>
        </w:rPr>
      </w:pPr>
      <w:r>
        <w:rPr>
          <w:rFonts w:ascii="Arial" w:hAnsi="Arial"/>
        </w:rPr>
        <w:t>Em relação às pessoas pardas, que receberam em média 1.406, o rendimento dos trabalhadores que se declararam brancos foi 50,1% maior, com uma diferença um pouco menor entre os ganhos dos grupos, de R$ 705.</w:t>
      </w:r>
    </w:p>
    <w:p w14:paraId="4A38202C" w14:textId="4780859D" w:rsidR="00A35635" w:rsidRDefault="00A35635" w:rsidP="00591A8D">
      <w:pPr>
        <w:spacing w:after="240" w:line="276" w:lineRule="auto"/>
        <w:jc w:val="both"/>
        <w:rPr>
          <w:rFonts w:ascii="Arial" w:hAnsi="Arial"/>
        </w:rPr>
      </w:pPr>
      <w:r>
        <w:rPr>
          <w:noProof/>
          <w:lang w:eastAsia="pt-BR" w:bidi="ar-SA"/>
        </w:rPr>
        <w:drawing>
          <wp:inline distT="0" distB="0" distL="0" distR="0" wp14:anchorId="2892C189" wp14:editId="4D5AF8D1">
            <wp:extent cx="6153150" cy="1713689"/>
            <wp:effectExtent l="0" t="0" r="0" b="127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528" t="30292" r="44053" b="43238"/>
                    <a:stretch/>
                  </pic:blipFill>
                  <pic:spPr bwMode="auto">
                    <a:xfrm>
                      <a:off x="0" y="0"/>
                      <a:ext cx="6169542" cy="1718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FC9533" w14:textId="4EE52AB3" w:rsidR="00DA13CA" w:rsidRPr="00DA13CA" w:rsidRDefault="00D77294" w:rsidP="00591A8D">
      <w:pPr>
        <w:spacing w:after="240"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 nível de instrução também </w:t>
      </w:r>
      <w:r w:rsidR="009007CB">
        <w:rPr>
          <w:rFonts w:ascii="Arial" w:hAnsi="Arial"/>
        </w:rPr>
        <w:t>apresentou</w:t>
      </w:r>
      <w:r>
        <w:rPr>
          <w:rFonts w:ascii="Arial" w:hAnsi="Arial"/>
        </w:rPr>
        <w:t xml:space="preserve"> um peso considerável, uma vez que os trabalhadores com nível superior completo, com um</w:t>
      </w:r>
      <w:r w:rsidR="009007CB">
        <w:rPr>
          <w:rFonts w:ascii="Arial" w:hAnsi="Arial"/>
        </w:rPr>
        <w:t xml:space="preserve"> rendimento</w:t>
      </w:r>
      <w:r>
        <w:rPr>
          <w:rFonts w:ascii="Arial" w:hAnsi="Arial"/>
        </w:rPr>
        <w:t xml:space="preserve"> médi</w:t>
      </w:r>
      <w:r w:rsidR="009007CB">
        <w:rPr>
          <w:rFonts w:ascii="Arial" w:hAnsi="Arial"/>
        </w:rPr>
        <w:t>o</w:t>
      </w:r>
      <w:r>
        <w:rPr>
          <w:rFonts w:ascii="Arial" w:hAnsi="Arial"/>
        </w:rPr>
        <w:t xml:space="preserve"> de R$ 3.926, ganharam aproximadamente 6,5 vezes </w:t>
      </w:r>
      <w:r w:rsidR="009007CB">
        <w:rPr>
          <w:rFonts w:ascii="Arial" w:hAnsi="Arial"/>
        </w:rPr>
        <w:t>o valor</w:t>
      </w:r>
      <w:r>
        <w:rPr>
          <w:rFonts w:ascii="Arial" w:hAnsi="Arial"/>
        </w:rPr>
        <w:t xml:space="preserve"> </w:t>
      </w:r>
      <w:r w:rsidR="009007CB">
        <w:rPr>
          <w:rFonts w:ascii="Arial" w:hAnsi="Arial"/>
        </w:rPr>
        <w:t xml:space="preserve">que receberam </w:t>
      </w:r>
      <w:r>
        <w:rPr>
          <w:rFonts w:ascii="Arial" w:hAnsi="Arial"/>
        </w:rPr>
        <w:t xml:space="preserve">aqueles sem instrução, R$ 603. </w:t>
      </w:r>
      <w:r w:rsidR="009007CB">
        <w:rPr>
          <w:rFonts w:ascii="Arial" w:hAnsi="Arial"/>
        </w:rPr>
        <w:t xml:space="preserve">O rendimento dos trabalhadores com nível superior equivale ainda a cerca de 2,8 vezes a quantia </w:t>
      </w:r>
      <w:r w:rsidR="00771C7E">
        <w:rPr>
          <w:rFonts w:ascii="Arial" w:hAnsi="Arial"/>
        </w:rPr>
        <w:t>recebid</w:t>
      </w:r>
      <w:r w:rsidR="009007CB">
        <w:rPr>
          <w:rFonts w:ascii="Arial" w:hAnsi="Arial"/>
        </w:rPr>
        <w:t>a</w:t>
      </w:r>
      <w:r w:rsidR="00771C7E">
        <w:rPr>
          <w:rFonts w:ascii="Arial" w:hAnsi="Arial"/>
        </w:rPr>
        <w:t xml:space="preserve"> pelos trabalhadores</w:t>
      </w:r>
      <w:r>
        <w:rPr>
          <w:rFonts w:ascii="Arial" w:hAnsi="Arial"/>
        </w:rPr>
        <w:t xml:space="preserve"> com ensino médio</w:t>
      </w:r>
      <w:r w:rsidR="00771C7E">
        <w:rPr>
          <w:rFonts w:ascii="Arial" w:hAnsi="Arial"/>
        </w:rPr>
        <w:t xml:space="preserve"> completo, de R$ 1.373</w:t>
      </w:r>
      <w:r w:rsidR="009007CB">
        <w:rPr>
          <w:rFonts w:ascii="Arial" w:hAnsi="Arial"/>
        </w:rPr>
        <w:t>.</w:t>
      </w:r>
      <w:r w:rsidR="00771C7E">
        <w:rPr>
          <w:rFonts w:ascii="Arial" w:hAnsi="Arial"/>
        </w:rPr>
        <w:t xml:space="preserve"> </w:t>
      </w:r>
    </w:p>
    <w:p w14:paraId="76BE78C6" w14:textId="6846C4E6" w:rsidR="00D77294" w:rsidRDefault="00DA13CA" w:rsidP="00DA13CA">
      <w:pPr>
        <w:spacing w:after="240" w:line="276" w:lineRule="auto"/>
        <w:jc w:val="center"/>
        <w:rPr>
          <w:rFonts w:ascii="Arial" w:hAnsi="Arial"/>
        </w:rPr>
      </w:pPr>
      <w:r>
        <w:rPr>
          <w:noProof/>
          <w:lang w:eastAsia="pt-BR" w:bidi="ar-SA"/>
        </w:rPr>
        <w:lastRenderedPageBreak/>
        <w:drawing>
          <wp:inline distT="0" distB="0" distL="0" distR="0" wp14:anchorId="3B12D339" wp14:editId="556BED59">
            <wp:extent cx="6110744" cy="1581150"/>
            <wp:effectExtent l="0" t="0" r="444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1476" t="35076" r="22686" b="34624"/>
                    <a:stretch/>
                  </pic:blipFill>
                  <pic:spPr bwMode="auto">
                    <a:xfrm>
                      <a:off x="0" y="0"/>
                      <a:ext cx="6234989" cy="1613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1FB3FA" w14:textId="6D58B59A" w:rsidR="00136217" w:rsidRDefault="00136217" w:rsidP="00591A8D">
      <w:pPr>
        <w:spacing w:after="240" w:line="276" w:lineRule="auto"/>
        <w:jc w:val="both"/>
        <w:rPr>
          <w:rFonts w:ascii="Arial" w:hAnsi="Arial"/>
          <w:noProof/>
        </w:rPr>
      </w:pPr>
      <w:r w:rsidRPr="00136217">
        <w:rPr>
          <w:rFonts w:ascii="Arial" w:hAnsi="Arial"/>
          <w:noProof/>
        </w:rPr>
        <w:t xml:space="preserve">Já entre os grupos de idade, </w:t>
      </w:r>
      <w:r>
        <w:rPr>
          <w:rFonts w:ascii="Arial" w:hAnsi="Arial"/>
          <w:noProof/>
        </w:rPr>
        <w:t>o menor rendimento médio mensal real</w:t>
      </w:r>
      <w:r w:rsidR="003C63F4">
        <w:rPr>
          <w:rFonts w:ascii="Arial" w:hAnsi="Arial"/>
          <w:noProof/>
        </w:rPr>
        <w:t xml:space="preserve">, de R$ 489, foi observado para </w:t>
      </w:r>
      <w:r w:rsidR="009007CB">
        <w:rPr>
          <w:rFonts w:ascii="Arial" w:hAnsi="Arial"/>
          <w:noProof/>
        </w:rPr>
        <w:t>a população</w:t>
      </w:r>
      <w:r w:rsidR="003C63F4">
        <w:rPr>
          <w:rFonts w:ascii="Arial" w:hAnsi="Arial"/>
          <w:noProof/>
        </w:rPr>
        <w:t xml:space="preserve"> de 14 a 17 anos, enquanto o maior foi identificado para a faixa-etária de 40 a 49 anos, de R$ 2.039. </w:t>
      </w:r>
    </w:p>
    <w:p w14:paraId="3C566338" w14:textId="63A1B724" w:rsidR="003C63F4" w:rsidRDefault="00F23FE5" w:rsidP="00591A8D">
      <w:pPr>
        <w:spacing w:after="240" w:line="276" w:lineRule="auto"/>
        <w:jc w:val="both"/>
        <w:rPr>
          <w:rFonts w:ascii="Arial" w:hAnsi="Arial"/>
          <w:b/>
          <w:bCs/>
          <w:noProof/>
        </w:rPr>
      </w:pPr>
      <w:r w:rsidRPr="00F23FE5">
        <w:rPr>
          <w:rFonts w:ascii="Arial" w:hAnsi="Arial"/>
          <w:b/>
          <w:bCs/>
          <w:noProof/>
        </w:rPr>
        <w:t xml:space="preserve">Paraíba </w:t>
      </w:r>
      <w:r>
        <w:rPr>
          <w:rFonts w:ascii="Arial" w:hAnsi="Arial"/>
          <w:b/>
          <w:bCs/>
          <w:noProof/>
        </w:rPr>
        <w:t>tem</w:t>
      </w:r>
      <w:r w:rsidRPr="00F23FE5">
        <w:rPr>
          <w:rFonts w:ascii="Arial" w:hAnsi="Arial"/>
          <w:b/>
          <w:bCs/>
          <w:noProof/>
        </w:rPr>
        <w:t xml:space="preserve"> 3º maior percentual do país de domicílios que rece</w:t>
      </w:r>
      <w:r>
        <w:rPr>
          <w:rFonts w:ascii="Arial" w:hAnsi="Arial"/>
          <w:b/>
          <w:bCs/>
          <w:noProof/>
        </w:rPr>
        <w:t>bem Bolsa Família</w:t>
      </w:r>
    </w:p>
    <w:p w14:paraId="097774DE" w14:textId="001BCFFF" w:rsidR="00F23FE5" w:rsidRDefault="00F23FE5" w:rsidP="00591A8D">
      <w:pPr>
        <w:spacing w:after="240" w:line="276" w:lineRule="auto"/>
        <w:jc w:val="both"/>
        <w:rPr>
          <w:rFonts w:ascii="Arial" w:hAnsi="Arial"/>
          <w:noProof/>
        </w:rPr>
      </w:pPr>
      <w:r w:rsidRPr="00C83846">
        <w:rPr>
          <w:rFonts w:ascii="Arial" w:hAnsi="Arial"/>
          <w:noProof/>
        </w:rPr>
        <w:t>A Paraíba registrou</w:t>
      </w:r>
      <w:r w:rsidR="0042720A">
        <w:rPr>
          <w:rFonts w:ascii="Arial" w:hAnsi="Arial"/>
          <w:noProof/>
        </w:rPr>
        <w:t xml:space="preserve"> em 2019</w:t>
      </w:r>
      <w:r w:rsidRPr="00C83846">
        <w:rPr>
          <w:rFonts w:ascii="Arial" w:hAnsi="Arial"/>
          <w:noProof/>
        </w:rPr>
        <w:t xml:space="preserve"> o 3º maior percentual do </w:t>
      </w:r>
      <w:r w:rsidR="00C83846">
        <w:rPr>
          <w:rFonts w:ascii="Arial" w:hAnsi="Arial"/>
          <w:noProof/>
        </w:rPr>
        <w:t>Brasil</w:t>
      </w:r>
      <w:r w:rsidRPr="00C83846">
        <w:rPr>
          <w:rFonts w:ascii="Arial" w:hAnsi="Arial"/>
          <w:noProof/>
        </w:rPr>
        <w:t xml:space="preserve"> de </w:t>
      </w:r>
      <w:r w:rsidR="00C83846">
        <w:rPr>
          <w:rFonts w:ascii="Arial" w:hAnsi="Arial"/>
          <w:noProof/>
        </w:rPr>
        <w:t xml:space="preserve">domicílios que recebem Bolsa Família, cerca de 30,2%, segundo a pesquisa. O indicador foi menor apenas do que os registrados no Maranhão (35,2%) e no Piauí (33,9%), além de estar acima da média da região Nordeste (27,6%) e do Brasil (13,5%). </w:t>
      </w:r>
    </w:p>
    <w:p w14:paraId="5F62DBB3" w14:textId="2D710F6D" w:rsidR="00C83846" w:rsidRDefault="00664A54" w:rsidP="00591A8D">
      <w:pPr>
        <w:spacing w:after="240" w:line="276" w:lineRule="auto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Apesar disso, o percentual </w:t>
      </w:r>
      <w:r w:rsidR="00A35635">
        <w:rPr>
          <w:rFonts w:ascii="Arial" w:hAnsi="Arial"/>
          <w:noProof/>
        </w:rPr>
        <w:t xml:space="preserve">caiu 5 </w:t>
      </w:r>
      <w:r w:rsidR="00AC6318">
        <w:rPr>
          <w:rFonts w:ascii="Arial" w:hAnsi="Arial"/>
          <w:noProof/>
        </w:rPr>
        <w:t xml:space="preserve">pontos </w:t>
      </w:r>
      <w:r>
        <w:rPr>
          <w:rFonts w:ascii="Arial" w:hAnsi="Arial"/>
          <w:noProof/>
        </w:rPr>
        <w:t xml:space="preserve">percentuais </w:t>
      </w:r>
      <w:r w:rsidR="0042720A">
        <w:rPr>
          <w:rFonts w:ascii="Arial" w:hAnsi="Arial"/>
          <w:noProof/>
        </w:rPr>
        <w:t>frente</w:t>
      </w:r>
      <w:r>
        <w:rPr>
          <w:rFonts w:ascii="Arial" w:hAnsi="Arial"/>
          <w:noProof/>
        </w:rPr>
        <w:t xml:space="preserve"> a 2012, quando era de 35,2%. A mesma tendência de redução foi observada nacionalmente, já que naquele ano a fatia de lares que recebiam esse benefício representava 15,9% do total. </w:t>
      </w:r>
    </w:p>
    <w:p w14:paraId="176C0154" w14:textId="02EDC209" w:rsidR="007216AB" w:rsidRDefault="005800CF" w:rsidP="00591A8D">
      <w:pPr>
        <w:spacing w:after="240" w:line="276" w:lineRule="auto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Dos domicílios em que algum morador recebeu benefício do Bolsa Família em 2019, 66% tinham abastecimento de água de rede geral; 35,3% tinham esgotamento sanitário com rede geral, plu</w:t>
      </w:r>
      <w:r w:rsidR="0042720A">
        <w:rPr>
          <w:rFonts w:ascii="Arial" w:hAnsi="Arial"/>
          <w:noProof/>
        </w:rPr>
        <w:t>v</w:t>
      </w:r>
      <w:r>
        <w:rPr>
          <w:rFonts w:ascii="Arial" w:hAnsi="Arial"/>
          <w:noProof/>
        </w:rPr>
        <w:t xml:space="preserve">ial ou fossa; 74,4% contavam com coleta de lixo; e 99,8% com iluminação elétrica. Na categoria posse de bens, 96,8% tinham geladeira; 20,2% possuíam máquina de lavar roupa; 95,3% tinham </w:t>
      </w:r>
      <w:r w:rsidR="0042720A">
        <w:rPr>
          <w:rFonts w:ascii="Arial" w:hAnsi="Arial"/>
          <w:noProof/>
        </w:rPr>
        <w:t>televisão</w:t>
      </w:r>
      <w:r>
        <w:rPr>
          <w:rFonts w:ascii="Arial" w:hAnsi="Arial"/>
          <w:noProof/>
        </w:rPr>
        <w:t xml:space="preserve">; e 10,1% microcomputador. </w:t>
      </w:r>
    </w:p>
    <w:p w14:paraId="4C5887EA" w14:textId="54289BCC" w:rsidR="00C9359A" w:rsidRPr="00C9359A" w:rsidRDefault="00C9359A" w:rsidP="00C034EE">
      <w:pPr>
        <w:spacing w:line="276" w:lineRule="auto"/>
        <w:jc w:val="both"/>
        <w:rPr>
          <w:rFonts w:ascii="Arial" w:hAnsi="Arial"/>
        </w:rPr>
      </w:pPr>
      <w:r w:rsidRPr="00C9359A">
        <w:rPr>
          <w:rFonts w:ascii="Arial" w:hAnsi="Arial"/>
        </w:rPr>
        <w:t xml:space="preserve">Já o Benefício de Prestação Continuada (BPC), que corresponde a um salário mínimo, foi pago, por mês, a </w:t>
      </w:r>
      <w:r>
        <w:rPr>
          <w:rFonts w:ascii="Arial" w:hAnsi="Arial"/>
        </w:rPr>
        <w:t>6</w:t>
      </w:r>
      <w:r w:rsidRPr="00C9359A">
        <w:rPr>
          <w:rFonts w:ascii="Arial" w:hAnsi="Arial"/>
        </w:rPr>
        <w:t>,</w:t>
      </w:r>
      <w:r>
        <w:rPr>
          <w:rFonts w:ascii="Arial" w:hAnsi="Arial"/>
        </w:rPr>
        <w:t>6</w:t>
      </w:r>
      <w:r w:rsidRPr="00C9359A">
        <w:rPr>
          <w:rFonts w:ascii="Arial" w:hAnsi="Arial"/>
        </w:rPr>
        <w:t xml:space="preserve">% das famílias com idosos e deficientes físicos que comprovaram baixa renda em 2019. Isso é </w:t>
      </w:r>
      <w:r>
        <w:rPr>
          <w:rFonts w:ascii="Arial" w:hAnsi="Arial"/>
        </w:rPr>
        <w:t>2</w:t>
      </w:r>
      <w:r w:rsidRPr="00C9359A">
        <w:rPr>
          <w:rFonts w:ascii="Arial" w:hAnsi="Arial"/>
        </w:rPr>
        <w:t>,</w:t>
      </w:r>
      <w:r>
        <w:rPr>
          <w:rFonts w:ascii="Arial" w:hAnsi="Arial"/>
        </w:rPr>
        <w:t>4</w:t>
      </w:r>
      <w:r w:rsidRPr="00C9359A">
        <w:rPr>
          <w:rFonts w:ascii="Arial" w:hAnsi="Arial"/>
        </w:rPr>
        <w:t xml:space="preserve"> ponto</w:t>
      </w:r>
      <w:r w:rsidR="0042720A">
        <w:rPr>
          <w:rFonts w:ascii="Arial" w:hAnsi="Arial"/>
        </w:rPr>
        <w:t>s</w:t>
      </w:r>
      <w:r w:rsidRPr="00C9359A">
        <w:rPr>
          <w:rFonts w:ascii="Arial" w:hAnsi="Arial"/>
        </w:rPr>
        <w:t xml:space="preserve"> percentua</w:t>
      </w:r>
      <w:r w:rsidR="0042720A">
        <w:rPr>
          <w:rFonts w:ascii="Arial" w:hAnsi="Arial"/>
        </w:rPr>
        <w:t>is</w:t>
      </w:r>
      <w:r w:rsidRPr="00C9359A">
        <w:rPr>
          <w:rFonts w:ascii="Arial" w:hAnsi="Arial"/>
        </w:rPr>
        <w:t xml:space="preserve"> acima da proporção de famílias que receberam o benefício em 2012 (</w:t>
      </w:r>
      <w:r>
        <w:rPr>
          <w:rFonts w:ascii="Arial" w:hAnsi="Arial"/>
        </w:rPr>
        <w:t>4,2%).</w:t>
      </w:r>
      <w:r w:rsidR="00C034EE">
        <w:rPr>
          <w:rFonts w:ascii="Arial" w:hAnsi="Arial"/>
        </w:rPr>
        <w:t xml:space="preserve"> O indicador foi maior do que a média</w:t>
      </w:r>
      <w:r>
        <w:rPr>
          <w:rFonts w:ascii="Arial" w:hAnsi="Arial"/>
        </w:rPr>
        <w:t xml:space="preserve"> regional (5,6%) e nacional (3,7%). </w:t>
      </w:r>
    </w:p>
    <w:p w14:paraId="4FA48EF2" w14:textId="3697DAFD" w:rsidR="00C9359A" w:rsidRDefault="00C9359A" w:rsidP="00591A8D">
      <w:pPr>
        <w:spacing w:after="240" w:line="276" w:lineRule="auto"/>
        <w:jc w:val="both"/>
        <w:rPr>
          <w:rFonts w:ascii="Arial" w:hAnsi="Arial"/>
        </w:rPr>
      </w:pPr>
    </w:p>
    <w:p w14:paraId="7AB8F692" w14:textId="0F4BB11C" w:rsidR="00C034EE" w:rsidRDefault="00C034EE" w:rsidP="00591A8D">
      <w:pPr>
        <w:spacing w:after="240" w:line="276" w:lineRule="auto"/>
        <w:jc w:val="both"/>
        <w:rPr>
          <w:rFonts w:ascii="Arial" w:hAnsi="Arial"/>
        </w:rPr>
      </w:pPr>
    </w:p>
    <w:p w14:paraId="65D64261" w14:textId="50980948" w:rsidR="00C034EE" w:rsidRDefault="00C034EE" w:rsidP="00591A8D">
      <w:pPr>
        <w:spacing w:after="240" w:line="276" w:lineRule="auto"/>
        <w:jc w:val="both"/>
        <w:rPr>
          <w:rFonts w:ascii="Arial" w:hAnsi="Arial"/>
        </w:rPr>
      </w:pPr>
    </w:p>
    <w:p w14:paraId="73A8DF1A" w14:textId="4ABC9C9E" w:rsidR="00C034EE" w:rsidRDefault="00C034EE" w:rsidP="00591A8D">
      <w:pPr>
        <w:spacing w:after="240" w:line="276" w:lineRule="auto"/>
        <w:jc w:val="both"/>
        <w:rPr>
          <w:rFonts w:ascii="Arial" w:hAnsi="Arial"/>
        </w:rPr>
      </w:pPr>
    </w:p>
    <w:p w14:paraId="40D13184" w14:textId="3D0B7354" w:rsidR="00C034EE" w:rsidRDefault="00C034EE" w:rsidP="00591A8D">
      <w:pPr>
        <w:spacing w:after="240" w:line="276" w:lineRule="auto"/>
        <w:jc w:val="both"/>
        <w:rPr>
          <w:rFonts w:ascii="Arial" w:hAnsi="Arial"/>
        </w:rPr>
      </w:pPr>
    </w:p>
    <w:p w14:paraId="7B542897" w14:textId="77777777" w:rsidR="00C034EE" w:rsidRDefault="00C034EE" w:rsidP="00591A8D">
      <w:pPr>
        <w:spacing w:after="240" w:line="276" w:lineRule="auto"/>
        <w:jc w:val="both"/>
        <w:rPr>
          <w:rFonts w:ascii="Arial" w:hAnsi="Arial"/>
        </w:rPr>
      </w:pPr>
      <w:bookmarkStart w:id="0" w:name="_GoBack"/>
      <w:bookmarkEnd w:id="0"/>
    </w:p>
    <w:p w14:paraId="14946A7E" w14:textId="600AA5CF" w:rsidR="003351B0" w:rsidRDefault="00A35635" w:rsidP="00591A8D">
      <w:pPr>
        <w:spacing w:after="240" w:line="276" w:lineRule="auto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 xml:space="preserve">Outros </w:t>
      </w:r>
      <w:r w:rsidR="003351B0" w:rsidRPr="003351B0">
        <w:rPr>
          <w:rFonts w:ascii="Arial" w:hAnsi="Arial"/>
          <w:b/>
          <w:bCs/>
          <w:sz w:val="28"/>
          <w:szCs w:val="28"/>
        </w:rPr>
        <w:t>Gráficos</w:t>
      </w:r>
      <w:r>
        <w:rPr>
          <w:rFonts w:ascii="Arial" w:hAnsi="Arial"/>
          <w:b/>
          <w:bCs/>
          <w:sz w:val="28"/>
          <w:szCs w:val="28"/>
        </w:rPr>
        <w:t xml:space="preserve"> e Tabelas</w:t>
      </w:r>
    </w:p>
    <w:p w14:paraId="4BFF5A0D" w14:textId="259FE2DA" w:rsidR="003351B0" w:rsidRPr="003351B0" w:rsidRDefault="003351B0" w:rsidP="003351B0">
      <w:pPr>
        <w:spacing w:after="240" w:line="276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noProof/>
          <w:lang w:eastAsia="pt-BR" w:bidi="ar-SA"/>
        </w:rPr>
        <w:drawing>
          <wp:inline distT="0" distB="0" distL="0" distR="0" wp14:anchorId="01CE7B86" wp14:editId="69656B3D">
            <wp:extent cx="5734050" cy="2933700"/>
            <wp:effectExtent l="0" t="0" r="0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1F643EB" w14:textId="626517CA" w:rsidR="003351B0" w:rsidRDefault="003351B0" w:rsidP="00591A8D">
      <w:pPr>
        <w:spacing w:after="240" w:line="276" w:lineRule="auto"/>
        <w:jc w:val="both"/>
        <w:rPr>
          <w:noProof/>
        </w:rPr>
      </w:pPr>
    </w:p>
    <w:p w14:paraId="5B4E8310" w14:textId="5CA9E6D4" w:rsidR="00A35635" w:rsidRDefault="00A35635" w:rsidP="00A35635">
      <w:pPr>
        <w:spacing w:after="240" w:line="276" w:lineRule="auto"/>
        <w:jc w:val="center"/>
        <w:rPr>
          <w:rFonts w:hint="eastAsia"/>
          <w:noProof/>
        </w:rPr>
      </w:pPr>
      <w:r w:rsidRPr="00A35635">
        <w:drawing>
          <wp:inline distT="0" distB="0" distL="0" distR="0" wp14:anchorId="7D09365E" wp14:editId="21B7B8D8">
            <wp:extent cx="5762625" cy="1678741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87289" cy="168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6BD6" w14:textId="77777777" w:rsidR="003351B0" w:rsidRDefault="003351B0" w:rsidP="00591A8D">
      <w:pPr>
        <w:spacing w:after="240" w:line="276" w:lineRule="auto"/>
        <w:jc w:val="both"/>
        <w:rPr>
          <w:rFonts w:hint="eastAsia"/>
          <w:noProof/>
        </w:rPr>
      </w:pPr>
    </w:p>
    <w:p w14:paraId="617F55F4" w14:textId="53587F7E" w:rsidR="003351B0" w:rsidRPr="00AC6060" w:rsidRDefault="003351B0" w:rsidP="00591A8D">
      <w:pPr>
        <w:spacing w:after="240" w:line="276" w:lineRule="auto"/>
        <w:jc w:val="both"/>
        <w:rPr>
          <w:rFonts w:ascii="Arial" w:hAnsi="Arial"/>
        </w:rPr>
      </w:pPr>
    </w:p>
    <w:sectPr w:rsidR="003351B0" w:rsidRPr="00AC6060" w:rsidSect="00A35635">
      <w:headerReference w:type="default" r:id="rId13"/>
      <w:footerReference w:type="default" r:id="rId14"/>
      <w:pgSz w:w="11906" w:h="16838"/>
      <w:pgMar w:top="1440" w:right="1080" w:bottom="1440" w:left="1080" w:header="0" w:footer="18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5D6C2" w14:textId="77777777" w:rsidR="00BE4B72" w:rsidRDefault="00BE4B72">
      <w:pPr>
        <w:rPr>
          <w:rFonts w:hint="eastAsia"/>
        </w:rPr>
      </w:pPr>
      <w:r>
        <w:separator/>
      </w:r>
    </w:p>
  </w:endnote>
  <w:endnote w:type="continuationSeparator" w:id="0">
    <w:p w14:paraId="1ADBC26D" w14:textId="77777777" w:rsidR="00BE4B72" w:rsidRDefault="00BE4B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S Monospace Bold">
    <w:charset w:val="00"/>
    <w:family w:val="modern"/>
    <w:pitch w:val="default"/>
  </w:font>
  <w:font w:name="Cronos Pro">
    <w:charset w:val="00"/>
    <w:family w:val="roman"/>
    <w:pitch w:val="variable"/>
  </w:font>
  <w:font w:name="Avenir LT Std 65 Medium">
    <w:charset w:val="00"/>
    <w:family w:val="roman"/>
    <w:pitch w:val="variable"/>
  </w:font>
  <w:font w:name="SimSun, ËÎÌå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E3C3C" w14:textId="77777777" w:rsidR="001377CD" w:rsidRDefault="00BE4B72">
    <w:pPr>
      <w:pStyle w:val="Rodap"/>
      <w:pBdr>
        <w:bottom w:val="single" w:sz="12" w:space="1" w:color="000000"/>
      </w:pBdr>
      <w:tabs>
        <w:tab w:val="clear" w:pos="4419"/>
        <w:tab w:val="clear" w:pos="8838"/>
      </w:tabs>
      <w:spacing w:after="0" w:line="240" w:lineRule="auto"/>
      <w:ind w:right="284"/>
      <w:jc w:val="right"/>
      <w:rPr>
        <w:rFonts w:ascii="Tahoma" w:hAnsi="Tahoma" w:cs="Tahoma"/>
        <w:sz w:val="18"/>
        <w:szCs w:val="18"/>
      </w:rPr>
    </w:pPr>
  </w:p>
  <w:p w14:paraId="0C8E3C3D" w14:textId="77777777" w:rsidR="001377CD" w:rsidRDefault="00D14A0A">
    <w:pPr>
      <w:pStyle w:val="Rodap"/>
      <w:tabs>
        <w:tab w:val="clear" w:pos="4419"/>
        <w:tab w:val="clear" w:pos="8838"/>
      </w:tabs>
      <w:spacing w:after="0" w:line="240" w:lineRule="auto"/>
      <w:ind w:right="284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twitter.com/</w:t>
    </w:r>
    <w:proofErr w:type="spellStart"/>
    <w:r>
      <w:rPr>
        <w:rFonts w:ascii="Tahoma" w:hAnsi="Tahoma" w:cs="Tahoma"/>
        <w:sz w:val="18"/>
        <w:szCs w:val="18"/>
      </w:rPr>
      <w:t>ibgecomunica</w:t>
    </w:r>
    <w:proofErr w:type="spellEnd"/>
    <w:r>
      <w:rPr>
        <w:rFonts w:ascii="Tahoma" w:hAnsi="Tahoma" w:cs="Tahoma"/>
        <w:sz w:val="18"/>
        <w:szCs w:val="18"/>
      </w:rPr>
      <w:t xml:space="preserve">   ●   facebook.com/</w:t>
    </w:r>
    <w:proofErr w:type="spellStart"/>
    <w:r>
      <w:rPr>
        <w:rFonts w:ascii="Tahoma" w:hAnsi="Tahoma" w:cs="Tahoma"/>
        <w:sz w:val="18"/>
        <w:szCs w:val="18"/>
      </w:rPr>
      <w:t>ibgeoficial</w:t>
    </w:r>
    <w:proofErr w:type="spellEnd"/>
    <w:r>
      <w:rPr>
        <w:rFonts w:ascii="Tahoma" w:hAnsi="Tahoma" w:cs="Tahoma"/>
        <w:sz w:val="18"/>
        <w:szCs w:val="18"/>
      </w:rPr>
      <w:t xml:space="preserve">   ●   instagram.com/</w:t>
    </w:r>
    <w:proofErr w:type="spellStart"/>
    <w:r>
      <w:rPr>
        <w:rFonts w:ascii="Tahoma" w:hAnsi="Tahoma" w:cs="Tahoma"/>
        <w:sz w:val="18"/>
        <w:szCs w:val="18"/>
      </w:rPr>
      <w:t>ibgeoficial</w:t>
    </w:r>
    <w:proofErr w:type="spellEnd"/>
    <w:r>
      <w:rPr>
        <w:rFonts w:ascii="Tahoma" w:hAnsi="Tahoma" w:cs="Tahoma"/>
        <w:sz w:val="18"/>
        <w:szCs w:val="18"/>
      </w:rPr>
      <w:t xml:space="preserve">   ●   youtube.com/</w:t>
    </w:r>
    <w:proofErr w:type="spellStart"/>
    <w:r>
      <w:rPr>
        <w:rFonts w:ascii="Tahoma" w:hAnsi="Tahoma" w:cs="Tahoma"/>
        <w:sz w:val="18"/>
        <w:szCs w:val="18"/>
      </w:rPr>
      <w:t>ibgeoficial</w:t>
    </w:r>
    <w:proofErr w:type="spellEnd"/>
  </w:p>
  <w:p w14:paraId="0C8E3C3E" w14:textId="7E7DF455" w:rsidR="001377CD" w:rsidRDefault="00D14A0A">
    <w:pPr>
      <w:pStyle w:val="Rodap"/>
      <w:tabs>
        <w:tab w:val="clear" w:pos="4419"/>
        <w:tab w:val="clear" w:pos="8838"/>
      </w:tabs>
      <w:spacing w:after="0" w:line="240" w:lineRule="auto"/>
      <w:ind w:right="284"/>
      <w:jc w:val="right"/>
    </w:pPr>
    <w:r>
      <w:rPr>
        <w:rFonts w:ascii="Tahoma" w:hAnsi="Tahoma" w:cs="Tahoma"/>
        <w:b/>
        <w:sz w:val="18"/>
        <w:szCs w:val="18"/>
      </w:rPr>
      <w:fldChar w:fldCharType="begin"/>
    </w:r>
    <w:r>
      <w:rPr>
        <w:rFonts w:ascii="Tahoma" w:hAnsi="Tahoma" w:cs="Tahoma"/>
        <w:b/>
        <w:sz w:val="18"/>
        <w:szCs w:val="18"/>
      </w:rPr>
      <w:instrText xml:space="preserve"> PAGE </w:instrText>
    </w:r>
    <w:r>
      <w:rPr>
        <w:rFonts w:ascii="Tahoma" w:hAnsi="Tahoma" w:cs="Tahoma"/>
        <w:b/>
        <w:sz w:val="18"/>
        <w:szCs w:val="18"/>
      </w:rPr>
      <w:fldChar w:fldCharType="separate"/>
    </w:r>
    <w:r w:rsidR="00C034EE">
      <w:rPr>
        <w:rFonts w:ascii="Tahoma" w:hAnsi="Tahoma" w:cs="Tahoma"/>
        <w:b/>
        <w:noProof/>
        <w:sz w:val="18"/>
        <w:szCs w:val="18"/>
      </w:rPr>
      <w:t>5</w:t>
    </w:r>
    <w:r>
      <w:rPr>
        <w:rFonts w:ascii="Tahoma" w:hAnsi="Tahoma" w:cs="Tahoma"/>
        <w:b/>
        <w:sz w:val="18"/>
        <w:szCs w:val="18"/>
      </w:rPr>
      <w:fldChar w:fldCharType="end"/>
    </w:r>
  </w:p>
  <w:p w14:paraId="0C8E3C3F" w14:textId="77777777" w:rsidR="001377CD" w:rsidRDefault="00BE4B72">
    <w:pPr>
      <w:pStyle w:val="Rodap"/>
      <w:tabs>
        <w:tab w:val="clear" w:pos="4419"/>
        <w:tab w:val="clear" w:pos="8838"/>
      </w:tabs>
      <w:spacing w:after="0" w:line="240" w:lineRule="auto"/>
      <w:ind w:right="284"/>
      <w:jc w:val="right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8D116" w14:textId="77777777" w:rsidR="00BE4B72" w:rsidRDefault="00BE4B7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A0CCCAF" w14:textId="77777777" w:rsidR="00BE4B72" w:rsidRDefault="00BE4B7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E3C37" w14:textId="77777777" w:rsidR="001377CD" w:rsidRDefault="00BE4B72">
    <w:pPr>
      <w:pStyle w:val="Standard"/>
      <w:spacing w:after="0" w:line="240" w:lineRule="auto"/>
      <w:rPr>
        <w:rFonts w:ascii="Tahoma" w:hAnsi="Tahoma" w:cs="Tahoma"/>
        <w:b/>
        <w:sz w:val="28"/>
        <w:szCs w:val="28"/>
      </w:rPr>
    </w:pPr>
  </w:p>
  <w:p w14:paraId="0C8E3C38" w14:textId="77777777" w:rsidR="001377CD" w:rsidRDefault="00D14A0A">
    <w:pPr>
      <w:pStyle w:val="Standard"/>
      <w:spacing w:after="0" w:line="240" w:lineRule="auto"/>
    </w:pPr>
    <w:r>
      <w:rPr>
        <w:rFonts w:ascii="Tahoma" w:hAnsi="Tahoma" w:cs="Tahoma"/>
        <w:b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0C8E3C2F" wp14:editId="0C8E3C30">
          <wp:simplePos x="0" y="0"/>
          <wp:positionH relativeFrom="column">
            <wp:posOffset>0</wp:posOffset>
          </wp:positionH>
          <wp:positionV relativeFrom="paragraph">
            <wp:posOffset>123837</wp:posOffset>
          </wp:positionV>
          <wp:extent cx="1440719" cy="278635"/>
          <wp:effectExtent l="0" t="0" r="7081" b="7115"/>
          <wp:wrapSquare wrapText="bothSides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376" t="-1886" r="-376" b="-1886"/>
                  <a:stretch>
                    <a:fillRect/>
                  </a:stretch>
                </pic:blipFill>
                <pic:spPr>
                  <a:xfrm>
                    <a:off x="0" y="0"/>
                    <a:ext cx="1440719" cy="278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8E3C31" wp14:editId="0C8E3C32">
              <wp:simplePos x="0" y="0"/>
              <wp:positionH relativeFrom="column">
                <wp:posOffset>4266718</wp:posOffset>
              </wp:positionH>
              <wp:positionV relativeFrom="paragraph">
                <wp:posOffset>152284</wp:posOffset>
              </wp:positionV>
              <wp:extent cx="2382524" cy="559439"/>
              <wp:effectExtent l="0" t="0" r="0" b="0"/>
              <wp:wrapNone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2524" cy="55943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C8E3C33" w14:textId="77777777" w:rsidR="001377CD" w:rsidRPr="00A35635" w:rsidRDefault="00D14A0A">
                          <w:pPr>
                            <w:pStyle w:val="Standard"/>
                            <w:spacing w:after="0" w:line="240" w:lineRule="auto"/>
                            <w:rPr>
                              <w:rFonts w:ascii="Verdana" w:hAnsi="Verdana" w:cs="Verdana"/>
                              <w:sz w:val="14"/>
                              <w:szCs w:val="14"/>
                            </w:rPr>
                          </w:pPr>
                          <w:r w:rsidRPr="00A35635">
                            <w:rPr>
                              <w:rFonts w:ascii="Verdana" w:hAnsi="Verdana" w:cs="Verdana"/>
                              <w:sz w:val="14"/>
                              <w:szCs w:val="14"/>
                            </w:rPr>
                            <w:t>http://agenciadenoticias.ibge.gov.br/</w:t>
                          </w:r>
                        </w:p>
                        <w:p w14:paraId="0C8E3C34" w14:textId="77777777" w:rsidR="001377CD" w:rsidRDefault="00D14A0A">
                          <w:pPr>
                            <w:pStyle w:val="Standard"/>
                            <w:spacing w:after="0" w:line="240" w:lineRule="auto"/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>comunica@ibge.gov.br</w:t>
                          </w: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0C8E3C35" w14:textId="77777777" w:rsidR="001377CD" w:rsidRDefault="00D14A0A">
                          <w:pPr>
                            <w:pStyle w:val="Standard"/>
                            <w:spacing w:after="0" w:line="240" w:lineRule="auto"/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  <w:t>(83) 2106-6671</w:t>
                          </w:r>
                        </w:p>
                        <w:p w14:paraId="0C8E3C36" w14:textId="77777777" w:rsidR="001377CD" w:rsidRDefault="00BE4B72">
                          <w:pPr>
                            <w:pStyle w:val="Standard"/>
                            <w:rPr>
                              <w:rFonts w:ascii="Verdana" w:hAnsi="Verdana" w:cs="Verdan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none" lIns="99002" tIns="53282" rIns="99002" bIns="53282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E3C31"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335.95pt;margin-top:12pt;width:187.6pt;height:44.0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" stroked="f">
              <v:fill opacity="0"/>
              <v:textbox inset="2.75006mm,1.48006mm,2.75006mm,1.48006mm">
                <w:txbxContent>
                  <w:p w14:paraId="0C8E3C33" w14:textId="77777777" w:rsidR="001377CD" w:rsidRPr="00A35635" w:rsidRDefault="00D14A0A">
                    <w:pPr>
                      <w:pStyle w:val="Standard"/>
                      <w:spacing w:after="0" w:line="240" w:lineRule="auto"/>
                      <w:rPr>
                        <w:rFonts w:ascii="Verdana" w:hAnsi="Verdana" w:cs="Verdana"/>
                        <w:sz w:val="14"/>
                        <w:szCs w:val="14"/>
                      </w:rPr>
                    </w:pPr>
                    <w:r w:rsidRPr="00A35635">
                      <w:rPr>
                        <w:rFonts w:ascii="Verdana" w:hAnsi="Verdana" w:cs="Verdana"/>
                        <w:sz w:val="14"/>
                        <w:szCs w:val="14"/>
                      </w:rPr>
                      <w:t>http://agenciadenoticias.ibge.gov.br/</w:t>
                    </w:r>
                  </w:p>
                  <w:p w14:paraId="0C8E3C34" w14:textId="77777777" w:rsidR="001377CD" w:rsidRDefault="00D14A0A">
                    <w:pPr>
                      <w:pStyle w:val="Standard"/>
                      <w:spacing w:after="0" w:line="240" w:lineRule="auto"/>
                      <w:rPr>
                        <w:rFonts w:ascii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 w:cs="Verdana"/>
                        <w:sz w:val="18"/>
                        <w:szCs w:val="18"/>
                      </w:rPr>
                      <w:t>comunica@ibge.gov.br</w:t>
                    </w:r>
                    <w:r>
                      <w:rPr>
                        <w:rFonts w:ascii="Verdana" w:hAnsi="Verdana" w:cs="Verdana"/>
                        <w:sz w:val="18"/>
                        <w:szCs w:val="18"/>
                      </w:rPr>
                      <w:tab/>
                    </w:r>
                  </w:p>
                  <w:p w14:paraId="0C8E3C35" w14:textId="77777777" w:rsidR="001377CD" w:rsidRDefault="00D14A0A">
                    <w:pPr>
                      <w:pStyle w:val="Standard"/>
                      <w:spacing w:after="0" w:line="240" w:lineRule="auto"/>
                      <w:rPr>
                        <w:rFonts w:ascii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 w:cs="Verdana"/>
                        <w:sz w:val="18"/>
                        <w:szCs w:val="18"/>
                      </w:rPr>
                      <w:t>(83) 2106-6671</w:t>
                    </w:r>
                  </w:p>
                  <w:p w14:paraId="0C8E3C36" w14:textId="77777777" w:rsidR="001377CD" w:rsidRDefault="00BE4B72">
                    <w:pPr>
                      <w:pStyle w:val="Standard"/>
                      <w:rPr>
                        <w:rFonts w:ascii="Verdana" w:hAnsi="Verdana" w:cs="Verdan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C8E3C39" w14:textId="77777777" w:rsidR="001377CD" w:rsidRDefault="00BE4B72">
    <w:pPr>
      <w:pStyle w:val="Standard"/>
      <w:spacing w:after="0" w:line="240" w:lineRule="auto"/>
      <w:rPr>
        <w:rFonts w:ascii="Tahoma" w:hAnsi="Tahoma" w:cs="Tahoma"/>
        <w:b/>
        <w:sz w:val="28"/>
        <w:szCs w:val="28"/>
      </w:rPr>
    </w:pPr>
  </w:p>
  <w:p w14:paraId="0C8E3C3A" w14:textId="77777777" w:rsidR="001377CD" w:rsidRDefault="00D14A0A">
    <w:pPr>
      <w:pStyle w:val="Standard"/>
      <w:pBdr>
        <w:bottom w:val="single" w:sz="12" w:space="1" w:color="000000"/>
      </w:pBdr>
      <w:tabs>
        <w:tab w:val="left" w:pos="5529"/>
      </w:tabs>
      <w:spacing w:after="0" w:line="240" w:lineRule="auto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>Informativo para a Mídia - Paraíba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1B"/>
    <w:rsid w:val="00004C85"/>
    <w:rsid w:val="0002143C"/>
    <w:rsid w:val="00026B7E"/>
    <w:rsid w:val="000301B4"/>
    <w:rsid w:val="00033F36"/>
    <w:rsid w:val="00042A5E"/>
    <w:rsid w:val="00043332"/>
    <w:rsid w:val="00046550"/>
    <w:rsid w:val="00063293"/>
    <w:rsid w:val="00077888"/>
    <w:rsid w:val="000901D1"/>
    <w:rsid w:val="000909F2"/>
    <w:rsid w:val="0009260A"/>
    <w:rsid w:val="000A60DE"/>
    <w:rsid w:val="000D4342"/>
    <w:rsid w:val="000E2FB5"/>
    <w:rsid w:val="000F688A"/>
    <w:rsid w:val="001033DB"/>
    <w:rsid w:val="00107AE2"/>
    <w:rsid w:val="00120CE4"/>
    <w:rsid w:val="00121571"/>
    <w:rsid w:val="00124E43"/>
    <w:rsid w:val="001260B5"/>
    <w:rsid w:val="00134E9C"/>
    <w:rsid w:val="00136217"/>
    <w:rsid w:val="00137F0C"/>
    <w:rsid w:val="00146350"/>
    <w:rsid w:val="00165387"/>
    <w:rsid w:val="001663A0"/>
    <w:rsid w:val="00195BF5"/>
    <w:rsid w:val="001B0C1E"/>
    <w:rsid w:val="001C048F"/>
    <w:rsid w:val="001D704C"/>
    <w:rsid w:val="001E45D3"/>
    <w:rsid w:val="001E64A5"/>
    <w:rsid w:val="001F77D0"/>
    <w:rsid w:val="00237811"/>
    <w:rsid w:val="00254A43"/>
    <w:rsid w:val="00261AA2"/>
    <w:rsid w:val="00263FE9"/>
    <w:rsid w:val="00271B13"/>
    <w:rsid w:val="002812D1"/>
    <w:rsid w:val="0029065C"/>
    <w:rsid w:val="002A3166"/>
    <w:rsid w:val="002C42C5"/>
    <w:rsid w:val="002D042B"/>
    <w:rsid w:val="002D0CDC"/>
    <w:rsid w:val="002E05E9"/>
    <w:rsid w:val="002F215F"/>
    <w:rsid w:val="00312FE6"/>
    <w:rsid w:val="0032178F"/>
    <w:rsid w:val="00324780"/>
    <w:rsid w:val="003337FE"/>
    <w:rsid w:val="003351B0"/>
    <w:rsid w:val="00336173"/>
    <w:rsid w:val="0033762B"/>
    <w:rsid w:val="0036209A"/>
    <w:rsid w:val="00367A78"/>
    <w:rsid w:val="003710F2"/>
    <w:rsid w:val="00395B31"/>
    <w:rsid w:val="003C63F4"/>
    <w:rsid w:val="003D1FE4"/>
    <w:rsid w:val="003E1BF9"/>
    <w:rsid w:val="00402923"/>
    <w:rsid w:val="00422820"/>
    <w:rsid w:val="0042720A"/>
    <w:rsid w:val="0043044D"/>
    <w:rsid w:val="00434D66"/>
    <w:rsid w:val="00446C3C"/>
    <w:rsid w:val="00473D72"/>
    <w:rsid w:val="00486BEA"/>
    <w:rsid w:val="004A2882"/>
    <w:rsid w:val="004C1935"/>
    <w:rsid w:val="004C3F0D"/>
    <w:rsid w:val="004C60C2"/>
    <w:rsid w:val="00524F1F"/>
    <w:rsid w:val="00546C9C"/>
    <w:rsid w:val="0055333D"/>
    <w:rsid w:val="00556300"/>
    <w:rsid w:val="00560370"/>
    <w:rsid w:val="00560A1D"/>
    <w:rsid w:val="00565878"/>
    <w:rsid w:val="00571087"/>
    <w:rsid w:val="005743C7"/>
    <w:rsid w:val="005753CC"/>
    <w:rsid w:val="005800CF"/>
    <w:rsid w:val="00591A8D"/>
    <w:rsid w:val="00596B8A"/>
    <w:rsid w:val="00597820"/>
    <w:rsid w:val="005A57D0"/>
    <w:rsid w:val="005B45E3"/>
    <w:rsid w:val="005D58B0"/>
    <w:rsid w:val="005D631B"/>
    <w:rsid w:val="005F4686"/>
    <w:rsid w:val="00621650"/>
    <w:rsid w:val="00635675"/>
    <w:rsid w:val="00653532"/>
    <w:rsid w:val="00654A9D"/>
    <w:rsid w:val="00660C48"/>
    <w:rsid w:val="00661124"/>
    <w:rsid w:val="00664A54"/>
    <w:rsid w:val="00666FAB"/>
    <w:rsid w:val="006779EA"/>
    <w:rsid w:val="006803C9"/>
    <w:rsid w:val="00686D11"/>
    <w:rsid w:val="00692B7F"/>
    <w:rsid w:val="006A0C7A"/>
    <w:rsid w:val="006A3805"/>
    <w:rsid w:val="006A534B"/>
    <w:rsid w:val="006A5979"/>
    <w:rsid w:val="006B6F11"/>
    <w:rsid w:val="006D6EEB"/>
    <w:rsid w:val="006E064B"/>
    <w:rsid w:val="006E3C41"/>
    <w:rsid w:val="006E761B"/>
    <w:rsid w:val="006E783A"/>
    <w:rsid w:val="006F4009"/>
    <w:rsid w:val="00705098"/>
    <w:rsid w:val="007216AB"/>
    <w:rsid w:val="00746D19"/>
    <w:rsid w:val="00757E78"/>
    <w:rsid w:val="00762BBE"/>
    <w:rsid w:val="0076537B"/>
    <w:rsid w:val="00771C7E"/>
    <w:rsid w:val="00784FD8"/>
    <w:rsid w:val="00794EF5"/>
    <w:rsid w:val="007C5578"/>
    <w:rsid w:val="007E3464"/>
    <w:rsid w:val="007F3877"/>
    <w:rsid w:val="00811A56"/>
    <w:rsid w:val="0084641A"/>
    <w:rsid w:val="00850C64"/>
    <w:rsid w:val="00853842"/>
    <w:rsid w:val="008606D9"/>
    <w:rsid w:val="00864899"/>
    <w:rsid w:val="00866A47"/>
    <w:rsid w:val="00874A8B"/>
    <w:rsid w:val="008928D7"/>
    <w:rsid w:val="008935E2"/>
    <w:rsid w:val="008A05F6"/>
    <w:rsid w:val="008A7183"/>
    <w:rsid w:val="008A7A5F"/>
    <w:rsid w:val="008B25F2"/>
    <w:rsid w:val="008B6347"/>
    <w:rsid w:val="008B77C2"/>
    <w:rsid w:val="008C3898"/>
    <w:rsid w:val="008C7DA0"/>
    <w:rsid w:val="008F2A37"/>
    <w:rsid w:val="008F5684"/>
    <w:rsid w:val="009007CB"/>
    <w:rsid w:val="00941212"/>
    <w:rsid w:val="00945FB6"/>
    <w:rsid w:val="00947A17"/>
    <w:rsid w:val="00980193"/>
    <w:rsid w:val="009924B8"/>
    <w:rsid w:val="009953A9"/>
    <w:rsid w:val="009A1C5D"/>
    <w:rsid w:val="009A2684"/>
    <w:rsid w:val="009B2AC7"/>
    <w:rsid w:val="009C00DE"/>
    <w:rsid w:val="009C7EAF"/>
    <w:rsid w:val="009D1E87"/>
    <w:rsid w:val="00A03308"/>
    <w:rsid w:val="00A2598F"/>
    <w:rsid w:val="00A3122A"/>
    <w:rsid w:val="00A35635"/>
    <w:rsid w:val="00A544F0"/>
    <w:rsid w:val="00A82590"/>
    <w:rsid w:val="00A92DA9"/>
    <w:rsid w:val="00AC6060"/>
    <w:rsid w:val="00AC6318"/>
    <w:rsid w:val="00B0175B"/>
    <w:rsid w:val="00B23117"/>
    <w:rsid w:val="00B371A5"/>
    <w:rsid w:val="00B500F8"/>
    <w:rsid w:val="00B55357"/>
    <w:rsid w:val="00B60472"/>
    <w:rsid w:val="00B6518C"/>
    <w:rsid w:val="00B727C9"/>
    <w:rsid w:val="00B92478"/>
    <w:rsid w:val="00B946FA"/>
    <w:rsid w:val="00BA7623"/>
    <w:rsid w:val="00BC7FE1"/>
    <w:rsid w:val="00BE4B72"/>
    <w:rsid w:val="00BE7B36"/>
    <w:rsid w:val="00BF3B4E"/>
    <w:rsid w:val="00BF3BBE"/>
    <w:rsid w:val="00C0163C"/>
    <w:rsid w:val="00C034EE"/>
    <w:rsid w:val="00C21657"/>
    <w:rsid w:val="00C366CB"/>
    <w:rsid w:val="00C3793B"/>
    <w:rsid w:val="00C56543"/>
    <w:rsid w:val="00C70477"/>
    <w:rsid w:val="00C83846"/>
    <w:rsid w:val="00C8547C"/>
    <w:rsid w:val="00C9359A"/>
    <w:rsid w:val="00CA7810"/>
    <w:rsid w:val="00CB11BA"/>
    <w:rsid w:val="00CB3F01"/>
    <w:rsid w:val="00CB7088"/>
    <w:rsid w:val="00CC294C"/>
    <w:rsid w:val="00CC6E98"/>
    <w:rsid w:val="00CE5DEF"/>
    <w:rsid w:val="00CE7827"/>
    <w:rsid w:val="00CF4217"/>
    <w:rsid w:val="00D037BF"/>
    <w:rsid w:val="00D14A0A"/>
    <w:rsid w:val="00D15439"/>
    <w:rsid w:val="00D30BBA"/>
    <w:rsid w:val="00D345EE"/>
    <w:rsid w:val="00D51B7A"/>
    <w:rsid w:val="00D77294"/>
    <w:rsid w:val="00D87E95"/>
    <w:rsid w:val="00D9102F"/>
    <w:rsid w:val="00DA13CA"/>
    <w:rsid w:val="00DB5344"/>
    <w:rsid w:val="00DC0566"/>
    <w:rsid w:val="00E01469"/>
    <w:rsid w:val="00E11043"/>
    <w:rsid w:val="00E11A48"/>
    <w:rsid w:val="00E16728"/>
    <w:rsid w:val="00E21389"/>
    <w:rsid w:val="00E376A8"/>
    <w:rsid w:val="00E413BC"/>
    <w:rsid w:val="00E52DC2"/>
    <w:rsid w:val="00E56692"/>
    <w:rsid w:val="00E60C6C"/>
    <w:rsid w:val="00E667E9"/>
    <w:rsid w:val="00E71F97"/>
    <w:rsid w:val="00E7239F"/>
    <w:rsid w:val="00E80C34"/>
    <w:rsid w:val="00E80CB0"/>
    <w:rsid w:val="00E80F80"/>
    <w:rsid w:val="00E8206E"/>
    <w:rsid w:val="00E8769A"/>
    <w:rsid w:val="00E94F03"/>
    <w:rsid w:val="00EB2614"/>
    <w:rsid w:val="00EB45FD"/>
    <w:rsid w:val="00EB58ED"/>
    <w:rsid w:val="00EC7D70"/>
    <w:rsid w:val="00ED05F8"/>
    <w:rsid w:val="00ED0DBF"/>
    <w:rsid w:val="00EF6418"/>
    <w:rsid w:val="00EF7E74"/>
    <w:rsid w:val="00F13DAD"/>
    <w:rsid w:val="00F22AC3"/>
    <w:rsid w:val="00F23FE5"/>
    <w:rsid w:val="00F27DE2"/>
    <w:rsid w:val="00F3185C"/>
    <w:rsid w:val="00F3645A"/>
    <w:rsid w:val="00F613D6"/>
    <w:rsid w:val="00F677D6"/>
    <w:rsid w:val="00F73D0B"/>
    <w:rsid w:val="00F747DE"/>
    <w:rsid w:val="00F81047"/>
    <w:rsid w:val="00F8501E"/>
    <w:rsid w:val="00F93948"/>
    <w:rsid w:val="00FA5953"/>
    <w:rsid w:val="00FA7CF0"/>
    <w:rsid w:val="00FC4C93"/>
    <w:rsid w:val="00FD4D47"/>
    <w:rsid w:val="00FF2E67"/>
    <w:rsid w:val="00FF3DA3"/>
    <w:rsid w:val="00FF6193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E3C23"/>
  <w15:docId w15:val="{AD412F12-3B05-4AD1-AC0E-E2A1F8F6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tulo1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Recuodecorpodetexto21">
    <w:name w:val="Recuo de corpo de texto 21"/>
    <w:basedOn w:val="Standard"/>
    <w:pPr>
      <w:spacing w:after="0" w:line="360" w:lineRule="auto"/>
      <w:ind w:left="-567" w:firstLine="567"/>
    </w:pPr>
    <w:rPr>
      <w:rFonts w:ascii="Times New Roman" w:eastAsia="Times New Roman" w:hAnsi="Times New Roman"/>
      <w:sz w:val="24"/>
      <w:szCs w:val="20"/>
    </w:rPr>
  </w:style>
  <w:style w:type="paragraph" w:customStyle="1" w:styleId="Listadecont">
    <w:name w:val="Lista de cont."/>
    <w:basedOn w:val="Standard"/>
    <w:pPr>
      <w:spacing w:after="120" w:line="240" w:lineRule="auto"/>
      <w:ind w:left="283"/>
    </w:pPr>
    <w:rPr>
      <w:rFonts w:ascii="Univers" w:eastAsia="Times New Roman" w:hAnsi="Univers" w:cs="Univers"/>
    </w:rPr>
  </w:style>
  <w:style w:type="paragraph" w:styleId="Corpodetexto3">
    <w:name w:val="Body Text 3"/>
    <w:basedOn w:val="Standard"/>
    <w:pPr>
      <w:widowControl w:val="0"/>
      <w:overflowPunct w:val="0"/>
      <w:autoSpaceDE w:val="0"/>
      <w:spacing w:after="0" w:line="360" w:lineRule="auto"/>
      <w:jc w:val="both"/>
    </w:pPr>
    <w:rPr>
      <w:rFonts w:ascii="Courier New" w:eastAsia="Times New Roman" w:hAnsi="Courier New" w:cs="SAS Monospace Bold"/>
      <w:b/>
      <w:bCs/>
      <w:sz w:val="20"/>
      <w:szCs w:val="20"/>
    </w:rPr>
  </w:style>
  <w:style w:type="paragraph" w:customStyle="1" w:styleId="00texto">
    <w:name w:val="00_texto"/>
    <w:basedOn w:val="Standard"/>
    <w:pPr>
      <w:spacing w:before="57" w:after="0" w:line="260" w:lineRule="atLeast"/>
      <w:ind w:firstLine="283"/>
      <w:jc w:val="both"/>
      <w:textAlignment w:val="center"/>
    </w:pPr>
    <w:rPr>
      <w:rFonts w:ascii="Cronos Pro" w:eastAsia="Times New Roman" w:hAnsi="Cronos Pro" w:cs="Cronos Pro"/>
      <w:color w:val="000000"/>
      <w:sz w:val="20"/>
      <w:szCs w:val="20"/>
    </w:rPr>
  </w:style>
  <w:style w:type="paragraph" w:customStyle="1" w:styleId="00textoTEXTUALCorpodetexto">
    <w:name w:val="00_texto (TEXTUAL:Corpo de texto)"/>
    <w:basedOn w:val="Standard"/>
    <w:pPr>
      <w:autoSpaceDE w:val="0"/>
      <w:spacing w:before="57" w:after="0" w:line="260" w:lineRule="atLeast"/>
      <w:ind w:firstLine="283"/>
      <w:jc w:val="both"/>
      <w:textAlignment w:val="center"/>
    </w:pPr>
    <w:rPr>
      <w:rFonts w:ascii="Cronos Pro" w:eastAsia="Times New Roman" w:hAnsi="Cronos Pro" w:cs="Cronos Pro"/>
      <w:color w:val="000000"/>
      <w:sz w:val="20"/>
      <w:szCs w:val="20"/>
    </w:rPr>
  </w:style>
  <w:style w:type="paragraph" w:customStyle="1" w:styleId="00textosementradaTEXTUALCorpodetexto">
    <w:name w:val="00_texto sem entrada (TEXTUAL:Corpo de texto)"/>
    <w:basedOn w:val="Standard"/>
    <w:pPr>
      <w:autoSpaceDE w:val="0"/>
      <w:spacing w:before="57" w:after="0" w:line="260" w:lineRule="atLeast"/>
      <w:jc w:val="both"/>
      <w:textAlignment w:val="center"/>
    </w:pPr>
    <w:rPr>
      <w:rFonts w:ascii="Cronos Pro" w:eastAsia="Times New Roman" w:hAnsi="Cronos Pro" w:cs="Cronos Pro"/>
      <w:color w:val="000000"/>
      <w:sz w:val="20"/>
      <w:szCs w:val="20"/>
    </w:rPr>
  </w:style>
  <w:style w:type="paragraph" w:customStyle="1" w:styleId="04subtitulo1TEXTUALtituloeSubtitulo">
    <w:name w:val="04_subtitulo1 (TEXTUAL:titulo e Subtitulo)"/>
    <w:basedOn w:val="Standard"/>
    <w:pPr>
      <w:autoSpaceDE w:val="0"/>
      <w:spacing w:after="0" w:line="320" w:lineRule="atLeast"/>
      <w:textAlignment w:val="center"/>
    </w:pPr>
    <w:rPr>
      <w:rFonts w:ascii="Avenir LT Std 65 Medium" w:eastAsia="Times New Roman" w:hAnsi="Avenir LT Std 65 Medium" w:cs="Avenir LT Std 65 Medium"/>
      <w:color w:val="000000"/>
      <w:sz w:val="28"/>
      <w:szCs w:val="28"/>
    </w:rPr>
  </w:style>
  <w:style w:type="paragraph" w:customStyle="1" w:styleId="Standarduser">
    <w:name w:val="Standard (user)"/>
    <w:pPr>
      <w:widowControl/>
      <w:suppressAutoHyphens/>
      <w:spacing w:before="57" w:after="57"/>
    </w:pPr>
    <w:rPr>
      <w:rFonts w:eastAsia="SimSun, ËÎÌå"/>
    </w:rPr>
  </w:style>
  <w:style w:type="paragraph" w:customStyle="1" w:styleId="Framecontents">
    <w:name w:val="Frame contents"/>
    <w:basedOn w:val="Standard"/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Times New Roman" w:hAnsi="Calibri" w:cs="Calibri"/>
      <w:color w:val="000000"/>
      <w:lang w:bidi="ar-SA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4">
    <w:name w:val="WW8Num1z4"/>
    <w:rPr>
      <w:rFonts w:ascii="Courier New" w:eastAsia="Courier New" w:hAnsi="Courier New" w:cs="Courier New"/>
    </w:rPr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sz w:val="24"/>
    </w:rPr>
  </w:style>
  <w:style w:type="character" w:customStyle="1" w:styleId="StrongEmphasis">
    <w:name w:val="Strong Emphasis"/>
    <w:rPr>
      <w:b/>
      <w:bCs/>
    </w:rPr>
  </w:style>
  <w:style w:type="character" w:customStyle="1" w:styleId="apple-converted-space">
    <w:name w:val="apple-converted-space"/>
  </w:style>
  <w:style w:type="character" w:styleId="nfaseSutil">
    <w:name w:val="Subtle Emphasis"/>
    <w:rPr>
      <w:i/>
      <w:iCs/>
      <w:color w:val="404040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customStyle="1" w:styleId="CorpodetextoChar">
    <w:name w:val="Corpo de texto Char"/>
    <w:rPr>
      <w:sz w:val="22"/>
      <w:szCs w:val="22"/>
    </w:rPr>
  </w:style>
  <w:style w:type="character" w:customStyle="1" w:styleId="WW-Caracteresdenotaderodap">
    <w:name w:val="WW-Caracteres de nota de rodapé"/>
    <w:rPr>
      <w:position w:val="0"/>
      <w:vertAlign w:val="superscript"/>
    </w:rPr>
  </w:style>
  <w:style w:type="character" w:customStyle="1" w:styleId="Refdenotaderodap2">
    <w:name w:val="Ref. de nota de rodapé2"/>
    <w:rPr>
      <w:position w:val="0"/>
      <w:vertAlign w:val="superscript"/>
    </w:rPr>
  </w:style>
  <w:style w:type="character" w:customStyle="1" w:styleId="UnresolvedMention">
    <w:name w:val="Unresolved Mention"/>
    <w:rPr>
      <w:color w:val="808080"/>
      <w:shd w:val="clear" w:color="auto" w:fill="E6E6E6"/>
    </w:rPr>
  </w:style>
  <w:style w:type="character" w:customStyle="1" w:styleId="TextodenotaderodapChar">
    <w:name w:val="Texto de nota de rodapé Char"/>
    <w:rPr>
      <w:rFonts w:ascii="Times New Roman" w:eastAsia="Times New Roman" w:hAnsi="Times New Roman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ink">
    <w:name w:val="Hyperlink"/>
    <w:basedOn w:val="Fontepargpadro"/>
    <w:uiPriority w:val="99"/>
    <w:unhideWhenUsed/>
    <w:rsid w:val="001E45D3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E4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sie\OneDrive\&#193;rea%20de%20Trabalho\CLARA\IBGE\PNAD_Rendimento2019_Embargo\Gr&#225;ficos%20PB%20rendiment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sie\OneDrive\&#193;rea%20de%20Trabalho\CLARA\IBGE\PNAD_Rendimento2019_Embargo\Gr&#225;ficos%20PB%20rendiment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osie\OneDrive\&#193;rea%20de%20Trabalho\CLARA\IBGE\PNAD_Rendimento2019_Embargo\Gr&#225;ficos%20PB%20rendiment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Índice de Gini do rendimento domiciliar per capita, a preços médios do ano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Gini!$B$5</c:f>
              <c:strCache>
                <c:ptCount val="1"/>
                <c:pt idx="0">
                  <c:v>Brasil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Gini!$C$4:$J$4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Gini!$C$5:$J$5</c:f>
              <c:numCache>
                <c:formatCode>General</c:formatCode>
                <c:ptCount val="8"/>
                <c:pt idx="0" formatCode="0.000">
                  <c:v>0.54</c:v>
                </c:pt>
                <c:pt idx="1">
                  <c:v>0.53300000000000003</c:v>
                </c:pt>
                <c:pt idx="2">
                  <c:v>0.52600000000000002</c:v>
                </c:pt>
                <c:pt idx="3">
                  <c:v>0.52400000000000002</c:v>
                </c:pt>
                <c:pt idx="4">
                  <c:v>0.53700000000000003</c:v>
                </c:pt>
                <c:pt idx="5">
                  <c:v>0.53800000000000003</c:v>
                </c:pt>
                <c:pt idx="6">
                  <c:v>0.54500000000000004</c:v>
                </c:pt>
                <c:pt idx="7">
                  <c:v>0.54300000000000004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739-4735-92F9-C5EC0AA0F0C2}"/>
            </c:ext>
          </c:extLst>
        </c:ser>
        <c:ser>
          <c:idx val="1"/>
          <c:order val="1"/>
          <c:tx>
            <c:strRef>
              <c:f>Gini!$B$6</c:f>
              <c:strCache>
                <c:ptCount val="1"/>
                <c:pt idx="0">
                  <c:v>Nordeste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Gini!$C$4:$J$4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Gini!$C$6:$J$6</c:f>
              <c:numCache>
                <c:formatCode>General</c:formatCode>
                <c:ptCount val="8"/>
                <c:pt idx="0">
                  <c:v>0.54600000000000004</c:v>
                </c:pt>
                <c:pt idx="1">
                  <c:v>0.53700000000000003</c:v>
                </c:pt>
                <c:pt idx="2">
                  <c:v>0.53200000000000003</c:v>
                </c:pt>
                <c:pt idx="3">
                  <c:v>0.53300000000000003</c:v>
                </c:pt>
                <c:pt idx="4">
                  <c:v>0.54400000000000004</c:v>
                </c:pt>
                <c:pt idx="5">
                  <c:v>0.55400000000000005</c:v>
                </c:pt>
                <c:pt idx="6">
                  <c:v>0.54500000000000004</c:v>
                </c:pt>
                <c:pt idx="7">
                  <c:v>0.55900000000000005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739-4735-92F9-C5EC0AA0F0C2}"/>
            </c:ext>
          </c:extLst>
        </c:ser>
        <c:ser>
          <c:idx val="2"/>
          <c:order val="2"/>
          <c:tx>
            <c:strRef>
              <c:f>Gini!$B$7</c:f>
              <c:strCache>
                <c:ptCount val="1"/>
                <c:pt idx="0">
                  <c:v>Paraíba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Gini!$C$4:$J$4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Gini!$C$7:$J$7</c:f>
              <c:numCache>
                <c:formatCode>General</c:formatCode>
                <c:ptCount val="8"/>
                <c:pt idx="0">
                  <c:v>0.51600000000000001</c:v>
                </c:pt>
                <c:pt idx="1">
                  <c:v>0.51400000000000001</c:v>
                </c:pt>
                <c:pt idx="2">
                  <c:v>0.52400000000000002</c:v>
                </c:pt>
                <c:pt idx="3">
                  <c:v>0.53100000000000003</c:v>
                </c:pt>
                <c:pt idx="4">
                  <c:v>0.52800000000000002</c:v>
                </c:pt>
                <c:pt idx="5">
                  <c:v>0.54600000000000004</c:v>
                </c:pt>
                <c:pt idx="6">
                  <c:v>0.54700000000000004</c:v>
                </c:pt>
                <c:pt idx="7">
                  <c:v>0.55900000000000005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739-4735-92F9-C5EC0AA0F0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2942032"/>
        <c:axId val="392937872"/>
      </c:lineChart>
      <c:catAx>
        <c:axId val="39294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92937872"/>
        <c:crosses val="autoZero"/>
        <c:auto val="1"/>
        <c:lblAlgn val="ctr"/>
        <c:lblOffset val="100"/>
        <c:noMultiLvlLbl val="0"/>
      </c:catAx>
      <c:valAx>
        <c:axId val="392937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92942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solidFill>
        <a:schemeClr val="bg2">
          <a:lumMod val="1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200"/>
              <a:t>Rendimento médio mensal real das pessoas de 14 anos ou mais de idade, de todos os trabalhos, a preços médios do 2019</a:t>
            </a:r>
          </a:p>
          <a:p>
            <a:pPr>
              <a:defRPr/>
            </a:pP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8.6088659873398185E-2"/>
          <c:y val="0.21083070112474828"/>
          <c:w val="0.8869505558128763"/>
          <c:h val="0.60015034115878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'Rend. sexo'!$B$17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'Rend. sexo'!$C$16:$E$16</c:f>
              <c:strCache>
                <c:ptCount val="3"/>
                <c:pt idx="0">
                  <c:v>Brasil</c:v>
                </c:pt>
                <c:pt idx="1">
                  <c:v>Nordeste</c:v>
                </c:pt>
                <c:pt idx="2">
                  <c:v>Paraíba</c:v>
                </c:pt>
              </c:strCache>
            </c:strRef>
          </c:cat>
          <c:val>
            <c:numRef>
              <c:f>'Rend. sexo'!$C$17:$E$17</c:f>
              <c:numCache>
                <c:formatCode>_-* #,##0_-;\-* #,##0_-;_-* "-"??_-;_-@_-</c:formatCode>
                <c:ptCount val="3"/>
                <c:pt idx="0">
                  <c:v>2308</c:v>
                </c:pt>
                <c:pt idx="1">
                  <c:v>1588</c:v>
                </c:pt>
                <c:pt idx="2">
                  <c:v>1629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2E-4056-9AAA-430CC85DE767}"/>
            </c:ext>
          </c:extLst>
        </c:ser>
        <c:ser>
          <c:idx val="1"/>
          <c:order val="1"/>
          <c:tx>
            <c:strRef>
              <c:f>'Rend. sexo'!$B$18</c:f>
              <c:strCache>
                <c:ptCount val="1"/>
                <c:pt idx="0">
                  <c:v>Homens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'Rend. sexo'!$C$16:$E$16</c:f>
              <c:strCache>
                <c:ptCount val="3"/>
                <c:pt idx="0">
                  <c:v>Brasil</c:v>
                </c:pt>
                <c:pt idx="1">
                  <c:v>Nordeste</c:v>
                </c:pt>
                <c:pt idx="2">
                  <c:v>Paraíba</c:v>
                </c:pt>
              </c:strCache>
            </c:strRef>
          </c:cat>
          <c:val>
            <c:numRef>
              <c:f>'Rend. sexo'!$C$18:$E$18</c:f>
              <c:numCache>
                <c:formatCode>_-* #,##0_-;\-* #,##0_-;_-* "-"??_-;_-@_-</c:formatCode>
                <c:ptCount val="3"/>
                <c:pt idx="0">
                  <c:v>2555</c:v>
                </c:pt>
                <c:pt idx="1">
                  <c:v>1683</c:v>
                </c:pt>
                <c:pt idx="2">
                  <c:v>1708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2E-4056-9AAA-430CC85DE767}"/>
            </c:ext>
          </c:extLst>
        </c:ser>
        <c:ser>
          <c:idx val="2"/>
          <c:order val="2"/>
          <c:tx>
            <c:strRef>
              <c:f>'Rend. sexo'!$B$19</c:f>
              <c:strCache>
                <c:ptCount val="1"/>
                <c:pt idx="0">
                  <c:v>Mulheres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'Rend. sexo'!$C$16:$E$16</c:f>
              <c:strCache>
                <c:ptCount val="3"/>
                <c:pt idx="0">
                  <c:v>Brasil</c:v>
                </c:pt>
                <c:pt idx="1">
                  <c:v>Nordeste</c:v>
                </c:pt>
                <c:pt idx="2">
                  <c:v>Paraíba</c:v>
                </c:pt>
              </c:strCache>
            </c:strRef>
          </c:cat>
          <c:val>
            <c:numRef>
              <c:f>'Rend. sexo'!$C$19:$E$19</c:f>
              <c:numCache>
                <c:formatCode>_-* #,##0_-;\-* #,##0_-;_-* "-"??_-;_-@_-</c:formatCode>
                <c:ptCount val="3"/>
                <c:pt idx="0">
                  <c:v>1985</c:v>
                </c:pt>
                <c:pt idx="1">
                  <c:v>1456</c:v>
                </c:pt>
                <c:pt idx="2">
                  <c:v>1512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2E-4056-9AAA-430CC85DE7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5385328"/>
        <c:axId val="375388240"/>
      </c:barChart>
      <c:catAx>
        <c:axId val="375385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75388240"/>
        <c:crosses val="autoZero"/>
        <c:auto val="1"/>
        <c:lblAlgn val="ctr"/>
        <c:lblOffset val="100"/>
        <c:noMultiLvlLbl val="0"/>
      </c:catAx>
      <c:valAx>
        <c:axId val="375388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75385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solidFill>
        <a:schemeClr val="bg2">
          <a:lumMod val="1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Rendimento médio mensal real da população residente, com rendimento, a preços médios de</a:t>
            </a:r>
            <a:r>
              <a:rPr lang="pt-BR" baseline="0"/>
              <a:t> 2019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8.7329374525858691E-2"/>
          <c:y val="0.22636227289770597"/>
          <c:w val="0.88830739180858209"/>
          <c:h val="0.60200156798582005"/>
        </c:manualLayout>
      </c:layout>
      <c:lineChart>
        <c:grouping val="standard"/>
        <c:varyColors val="0"/>
        <c:ser>
          <c:idx val="0"/>
          <c:order val="0"/>
          <c:tx>
            <c:strRef>
              <c:f>'Rendimento médio geral'!$B$5</c:f>
              <c:strCache>
                <c:ptCount val="1"/>
                <c:pt idx="0">
                  <c:v>Brasil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'Rendimento médio geral'!$C$4:$J$4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'Rendimento médio geral'!$C$5:$J$5</c:f>
              <c:numCache>
                <c:formatCode>_-* #,##0_-;\-* #,##0_-;_-* "-"??_-;_-@_-</c:formatCode>
                <c:ptCount val="8"/>
                <c:pt idx="0">
                  <c:v>2213</c:v>
                </c:pt>
                <c:pt idx="1">
                  <c:v>2285</c:v>
                </c:pt>
                <c:pt idx="2">
                  <c:v>2364</c:v>
                </c:pt>
                <c:pt idx="3">
                  <c:v>2267</c:v>
                </c:pt>
                <c:pt idx="4">
                  <c:v>2279</c:v>
                </c:pt>
                <c:pt idx="5">
                  <c:v>2264</c:v>
                </c:pt>
                <c:pt idx="6">
                  <c:v>2317</c:v>
                </c:pt>
                <c:pt idx="7">
                  <c:v>2308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7E5-405D-9B3B-DDCEB246A482}"/>
            </c:ext>
          </c:extLst>
        </c:ser>
        <c:ser>
          <c:idx val="1"/>
          <c:order val="1"/>
          <c:tx>
            <c:strRef>
              <c:f>'Rendimento médio geral'!$B$6</c:f>
              <c:strCache>
                <c:ptCount val="1"/>
                <c:pt idx="0">
                  <c:v>Nordeste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'Rendimento médio geral'!$C$4:$J$4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'Rendimento médio geral'!$C$6:$J$6</c:f>
              <c:numCache>
                <c:formatCode>_-* #,##0_-;\-* #,##0_-;_-* "-"??_-;_-@_-</c:formatCode>
                <c:ptCount val="8"/>
                <c:pt idx="0">
                  <c:v>1479</c:v>
                </c:pt>
                <c:pt idx="1">
                  <c:v>1545</c:v>
                </c:pt>
                <c:pt idx="2">
                  <c:v>1599</c:v>
                </c:pt>
                <c:pt idx="3">
                  <c:v>1558</c:v>
                </c:pt>
                <c:pt idx="4">
                  <c:v>1543</c:v>
                </c:pt>
                <c:pt idx="5">
                  <c:v>1574</c:v>
                </c:pt>
                <c:pt idx="6">
                  <c:v>1553</c:v>
                </c:pt>
                <c:pt idx="7">
                  <c:v>1588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7E5-405D-9B3B-DDCEB246A482}"/>
            </c:ext>
          </c:extLst>
        </c:ser>
        <c:ser>
          <c:idx val="2"/>
          <c:order val="2"/>
          <c:tx>
            <c:strRef>
              <c:f>'Rendimento médio geral'!$B$7</c:f>
              <c:strCache>
                <c:ptCount val="1"/>
                <c:pt idx="0">
                  <c:v>Paraíba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'Rendimento médio geral'!$C$4:$J$4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'Rendimento médio geral'!$C$7:$J$7</c:f>
              <c:numCache>
                <c:formatCode>_-* #,##0_-;\-* #,##0_-;_-* "-"??_-;_-@_-</c:formatCode>
                <c:ptCount val="8"/>
                <c:pt idx="0">
                  <c:v>1361</c:v>
                </c:pt>
                <c:pt idx="1">
                  <c:v>1379</c:v>
                </c:pt>
                <c:pt idx="2">
                  <c:v>1559</c:v>
                </c:pt>
                <c:pt idx="3">
                  <c:v>1628</c:v>
                </c:pt>
                <c:pt idx="4">
                  <c:v>1540</c:v>
                </c:pt>
                <c:pt idx="5">
                  <c:v>1694</c:v>
                </c:pt>
                <c:pt idx="6">
                  <c:v>1623</c:v>
                </c:pt>
                <c:pt idx="7">
                  <c:v>1629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7E5-405D-9B3B-DDCEB246A4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5367440"/>
        <c:axId val="375384496"/>
      </c:lineChart>
      <c:catAx>
        <c:axId val="375367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75384496"/>
        <c:crosses val="autoZero"/>
        <c:auto val="1"/>
        <c:lblAlgn val="ctr"/>
        <c:lblOffset val="100"/>
        <c:noMultiLvlLbl val="0"/>
      </c:catAx>
      <c:valAx>
        <c:axId val="375384496"/>
        <c:scaling>
          <c:orientation val="minMax"/>
          <c:min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75367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610606813683171"/>
          <c:y val="0.90335593467483233"/>
          <c:w val="0.40778786372633652"/>
          <c:h val="7.30524593516719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solidFill>
        <a:schemeClr val="bg2">
          <a:lumMod val="1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912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PNAD Contínua 2018: 10% da população concentram 43,1% da massa de rendimentos do país</vt:lpstr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PNAD Contínua 2018: 10% da população concentram 43,1% da massa de rendimentos do país</dc:title>
  <dc:creator>administrador</dc:creator>
  <cp:lastModifiedBy>User</cp:lastModifiedBy>
  <cp:revision>3</cp:revision>
  <cp:lastPrinted>1995-11-21T17:41:00Z</cp:lastPrinted>
  <dcterms:created xsi:type="dcterms:W3CDTF">2020-05-06T17:53:00Z</dcterms:created>
  <dcterms:modified xsi:type="dcterms:W3CDTF">2020-05-06T18:12:00Z</dcterms:modified>
</cp:coreProperties>
</file>